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185A" w14:textId="77777777" w:rsidR="00C63D8D" w:rsidRDefault="00C63D8D">
      <w:pPr>
        <w:spacing w:before="2400"/>
      </w:pPr>
    </w:p>
    <w:p w14:paraId="61AAF2E2" w14:textId="77777777" w:rsidR="00C63D8D" w:rsidRDefault="00EB5FB8">
      <w:pPr>
        <w:spacing w:after="200"/>
        <w:jc w:val="center"/>
      </w:pPr>
      <w:r>
        <w:rPr>
          <w:rFonts w:ascii="Georgia" w:eastAsia="Georgia" w:hAnsi="Georgia" w:cs="Georgia"/>
          <w:b/>
          <w:bCs/>
          <w:color w:val="1B3A2E"/>
          <w:sz w:val="44"/>
          <w:szCs w:val="44"/>
        </w:rPr>
        <w:t>Partner / Channel Operations</w:t>
      </w:r>
    </w:p>
    <w:p w14:paraId="7634BF29" w14:textId="77777777" w:rsidR="00C63D8D" w:rsidRDefault="00EB5FB8">
      <w:pPr>
        <w:spacing w:after="100"/>
        <w:jc w:val="center"/>
      </w:pPr>
      <w:r>
        <w:rPr>
          <w:rFonts w:ascii="Georgia" w:eastAsia="Georgia" w:hAnsi="Georgia" w:cs="Georgia"/>
          <w:b/>
          <w:bCs/>
          <w:color w:val="1B3A2E"/>
          <w:sz w:val="44"/>
          <w:szCs w:val="44"/>
        </w:rPr>
        <w:t>Infrastructure Framework Template</w:t>
      </w:r>
    </w:p>
    <w:p w14:paraId="609679C9" w14:textId="77777777" w:rsidR="00C63D8D" w:rsidRDefault="00C63D8D">
      <w:pPr>
        <w:pBdr>
          <w:bottom w:val="single" w:sz="6" w:space="12" w:color="A1ACA6"/>
        </w:pBdr>
        <w:spacing w:after="400"/>
        <w:jc w:val="center"/>
      </w:pPr>
    </w:p>
    <w:p w14:paraId="07CAF175" w14:textId="77777777" w:rsidR="00C63D8D" w:rsidRDefault="00EB5FB8">
      <w:pPr>
        <w:spacing w:before="200" w:after="160"/>
        <w:jc w:val="center"/>
      </w:pPr>
      <w:r>
        <w:rPr>
          <w:i/>
          <w:iCs/>
          <w:color w:val="555555"/>
          <w:sz w:val="24"/>
          <w:szCs w:val="24"/>
        </w:rPr>
        <w:t>A practical template for building and scaling partner ecosystem operations</w:t>
      </w:r>
    </w:p>
    <w:p w14:paraId="0F9DDC64" w14:textId="77777777" w:rsidR="00C63D8D" w:rsidRDefault="00EB5FB8">
      <w:pPr>
        <w:spacing w:after="160"/>
        <w:jc w:val="center"/>
      </w:pPr>
      <w:r>
        <w:rPr>
          <w:color w:val="46624C"/>
        </w:rPr>
        <w:t>jamiereidchannelstrategy.com</w:t>
      </w:r>
    </w:p>
    <w:p w14:paraId="361C955C" w14:textId="77777777" w:rsidR="00C63D8D" w:rsidRDefault="00EB5FB8">
      <w:r>
        <w:br w:type="page"/>
      </w:r>
    </w:p>
    <w:p w14:paraId="019ACAA2" w14:textId="77777777" w:rsidR="00C63D8D" w:rsidRDefault="00EB5FB8">
      <w:pPr>
        <w:pStyle w:val="Heading1"/>
      </w:pPr>
      <w:r>
        <w:lastRenderedPageBreak/>
        <w:t>Introduction</w:t>
      </w:r>
    </w:p>
    <w:p w14:paraId="2A5C6505" w14:textId="77777777" w:rsidR="00C63D8D" w:rsidRDefault="00EB5FB8">
      <w:pPr>
        <w:spacing w:after="160"/>
      </w:pPr>
      <w:r>
        <w:t>This framework outlines the operational infrastructure required to build and scale a partner ecosystem. It separates the core operational disciplines that enable partner programs to function effectively: strategy and analysis, operational processes, pricing and commercial models, enablement infrastructure, and performance management.</w:t>
      </w:r>
    </w:p>
    <w:p w14:paraId="359C4530" w14:textId="77777777" w:rsidR="00C63D8D" w:rsidRDefault="00EB5FB8">
      <w:pPr>
        <w:spacing w:after="160"/>
      </w:pPr>
      <w:r>
        <w:t>Each section contains guidance on the artifacts, templates, and operational practices required to support a scalable partner ecosystem.</w:t>
      </w:r>
    </w:p>
    <w:p w14:paraId="471715A5" w14:textId="77777777" w:rsidR="00C63D8D" w:rsidRDefault="00C63D8D">
      <w:pPr>
        <w:pBdr>
          <w:bottom w:val="single" w:sz="4" w:space="8" w:color="A1ACA6"/>
        </w:pBdr>
        <w:spacing w:before="200" w:after="200"/>
      </w:pPr>
    </w:p>
    <w:p w14:paraId="5BA63CF2" w14:textId="77777777" w:rsidR="00C63D8D" w:rsidRDefault="00EB5FB8">
      <w:pPr>
        <w:pStyle w:val="Heading1"/>
      </w:pPr>
      <w:r>
        <w:t>1. Partner Analysis &amp; Strategic Planning</w:t>
      </w:r>
    </w:p>
    <w:p w14:paraId="137D003C" w14:textId="77777777" w:rsidR="00C63D8D" w:rsidRDefault="00EB5FB8">
      <w:pPr>
        <w:spacing w:after="160"/>
      </w:pPr>
      <w:r>
        <w:t>This section focuses on evaluating where partners fit within the company’s go-to-market strategy and identifying the operational requirements needed to support those partner motions.</w:t>
      </w:r>
    </w:p>
    <w:p w14:paraId="3D7EBBFD" w14:textId="77777777" w:rsidR="00C63D8D" w:rsidRDefault="00EB5FB8">
      <w:pPr>
        <w:spacing w:after="160"/>
      </w:pPr>
      <w:r>
        <w:t>Partner analysis ensures that programs are built around actual GTM motions and partner capabilities, rather than around static partner tiers or program structures.</w:t>
      </w:r>
    </w:p>
    <w:p w14:paraId="41FEA99C" w14:textId="77777777" w:rsidR="00C63D8D" w:rsidRDefault="00EB5FB8">
      <w:pPr>
        <w:pStyle w:val="Heading2"/>
      </w:pPr>
      <w:r>
        <w:t>Key Analyses</w:t>
      </w:r>
    </w:p>
    <w:p w14:paraId="61BD9133" w14:textId="77777777" w:rsidR="00C63D8D" w:rsidRDefault="00EB5FB8">
      <w:pPr>
        <w:spacing w:after="160"/>
      </w:pPr>
      <w:r>
        <w:t>Channel/Partner operations teams should regularly conduct structured analysis across several areas:</w:t>
      </w:r>
    </w:p>
    <w:p w14:paraId="40782EF7" w14:textId="77777777" w:rsidR="00C63D8D" w:rsidRDefault="00EB5FB8">
      <w:pPr>
        <w:pStyle w:val="ListParagraph"/>
        <w:numPr>
          <w:ilvl w:val="0"/>
          <w:numId w:val="2"/>
        </w:numPr>
        <w:spacing w:after="80"/>
      </w:pPr>
      <w:r>
        <w:t>Partner segment analysis</w:t>
      </w:r>
    </w:p>
    <w:p w14:paraId="5DAE809C" w14:textId="77777777" w:rsidR="00C63D8D" w:rsidRDefault="00EB5FB8">
      <w:pPr>
        <w:pStyle w:val="ListParagraph"/>
        <w:numPr>
          <w:ilvl w:val="0"/>
          <w:numId w:val="2"/>
        </w:numPr>
        <w:spacing w:after="80"/>
      </w:pPr>
      <w:r>
        <w:t>Partner capability analysis</w:t>
      </w:r>
    </w:p>
    <w:p w14:paraId="0A88DA6F" w14:textId="77777777" w:rsidR="00C63D8D" w:rsidRDefault="00EB5FB8">
      <w:pPr>
        <w:pStyle w:val="ListParagraph"/>
        <w:numPr>
          <w:ilvl w:val="0"/>
          <w:numId w:val="2"/>
        </w:numPr>
        <w:spacing w:after="80"/>
      </w:pPr>
      <w:r>
        <w:t>Partner motion analysis (resell, referral, services, co-sell, ecosystem)</w:t>
      </w:r>
    </w:p>
    <w:p w14:paraId="3F308E2B" w14:textId="77777777" w:rsidR="00C63D8D" w:rsidRDefault="00EB5FB8">
      <w:pPr>
        <w:pStyle w:val="ListParagraph"/>
        <w:numPr>
          <w:ilvl w:val="0"/>
          <w:numId w:val="2"/>
        </w:numPr>
        <w:spacing w:after="80"/>
      </w:pPr>
      <w:r>
        <w:t>Partner economics analysis</w:t>
      </w:r>
    </w:p>
    <w:p w14:paraId="44CAEA27" w14:textId="77777777" w:rsidR="00C63D8D" w:rsidRDefault="00EB5FB8">
      <w:pPr>
        <w:pStyle w:val="ListParagraph"/>
        <w:numPr>
          <w:ilvl w:val="0"/>
          <w:numId w:val="2"/>
        </w:numPr>
        <w:spacing w:after="80"/>
      </w:pPr>
      <w:r>
        <w:t>Market coverage analysis</w:t>
      </w:r>
    </w:p>
    <w:p w14:paraId="3785AE8A" w14:textId="77777777" w:rsidR="00C63D8D" w:rsidRDefault="00EB5FB8">
      <w:pPr>
        <w:pStyle w:val="ListParagraph"/>
        <w:numPr>
          <w:ilvl w:val="0"/>
          <w:numId w:val="2"/>
        </w:numPr>
        <w:spacing w:after="80"/>
      </w:pPr>
      <w:r>
        <w:t>Partner performance reviews</w:t>
      </w:r>
    </w:p>
    <w:p w14:paraId="1E85ABD7" w14:textId="425A7B5B" w:rsidR="00C63D8D" w:rsidRDefault="00EB5FB8">
      <w:pPr>
        <w:pStyle w:val="ListParagraph"/>
        <w:numPr>
          <w:ilvl w:val="0"/>
          <w:numId w:val="2"/>
        </w:numPr>
        <w:spacing w:after="80"/>
      </w:pPr>
      <w:r>
        <w:t xml:space="preserve">Competitive landscape </w:t>
      </w:r>
      <w:proofErr w:type="gramStart"/>
      <w:r>
        <w:t xml:space="preserve">analysis </w:t>
      </w:r>
      <w:r w:rsidR="005938D4">
        <w:t>,</w:t>
      </w:r>
      <w:proofErr w:type="gramEnd"/>
      <w:r>
        <w:t xml:space="preserve"> understanding how competitors structure their partner programs and where partner overlap exists</w:t>
      </w:r>
    </w:p>
    <w:p w14:paraId="091E2A6E" w14:textId="0D776393" w:rsidR="00C63D8D" w:rsidRDefault="00EB5FB8">
      <w:pPr>
        <w:pStyle w:val="ListParagraph"/>
        <w:numPr>
          <w:ilvl w:val="0"/>
          <w:numId w:val="2"/>
        </w:numPr>
        <w:spacing w:after="80"/>
      </w:pPr>
      <w:r>
        <w:t xml:space="preserve">Partner whitespace </w:t>
      </w:r>
      <w:proofErr w:type="gramStart"/>
      <w:r>
        <w:t xml:space="preserve">analysis </w:t>
      </w:r>
      <w:r w:rsidR="005938D4">
        <w:t>,</w:t>
      </w:r>
      <w:proofErr w:type="gramEnd"/>
      <w:r>
        <w:t xml:space="preserve"> identifying untapped partner segments, geographies, or verticals where coverage gaps exist</w:t>
      </w:r>
    </w:p>
    <w:p w14:paraId="654E70D6" w14:textId="32EE0E65" w:rsidR="00C63D8D" w:rsidRDefault="00EB5FB8">
      <w:pPr>
        <w:pStyle w:val="ListParagraph"/>
        <w:numPr>
          <w:ilvl w:val="0"/>
          <w:numId w:val="2"/>
        </w:numPr>
        <w:spacing w:after="80"/>
      </w:pPr>
      <w:r>
        <w:t xml:space="preserve">Partner and ICP match </w:t>
      </w:r>
      <w:proofErr w:type="gramStart"/>
      <w:r>
        <w:t xml:space="preserve">analysis </w:t>
      </w:r>
      <w:r w:rsidR="005938D4">
        <w:t>,</w:t>
      </w:r>
      <w:proofErr w:type="gramEnd"/>
      <w:r>
        <w:t xml:space="preserve"> evaluating how well a partner’s customer base, vertical focus, and selling motion align with the vendor’s ideal customer profile</w:t>
      </w:r>
    </w:p>
    <w:p w14:paraId="0D4BA866" w14:textId="77777777" w:rsidR="00C63D8D" w:rsidRDefault="00EB5FB8">
      <w:pPr>
        <w:pStyle w:val="Heading2"/>
      </w:pPr>
      <w:proofErr w:type="gramStart"/>
      <w:r>
        <w:t>Analysis</w:t>
      </w:r>
      <w:proofErr w:type="gramEnd"/>
      <w:r>
        <w:t xml:space="preserve"> Template Structure</w:t>
      </w:r>
    </w:p>
    <w:p w14:paraId="2A87FEB0" w14:textId="77777777" w:rsidR="00C63D8D" w:rsidRDefault="00EB5FB8">
      <w:pPr>
        <w:spacing w:after="160"/>
      </w:pPr>
      <w:r>
        <w:t>Each analysis should include:</w:t>
      </w:r>
    </w:p>
    <w:p w14:paraId="3E42712A" w14:textId="77777777" w:rsidR="00C63D8D" w:rsidRDefault="00EB5FB8">
      <w:pPr>
        <w:pStyle w:val="ListParagraph"/>
        <w:numPr>
          <w:ilvl w:val="0"/>
          <w:numId w:val="3"/>
        </w:numPr>
        <w:spacing w:after="80"/>
      </w:pPr>
      <w:r>
        <w:rPr>
          <w:b/>
          <w:bCs/>
        </w:rPr>
        <w:t>Business Objective</w:t>
      </w:r>
      <w:r>
        <w:t xml:space="preserve"> What decision or program is being evaluated.</w:t>
      </w:r>
    </w:p>
    <w:p w14:paraId="15FC4030" w14:textId="77777777" w:rsidR="00C63D8D" w:rsidRDefault="00EB5FB8">
      <w:pPr>
        <w:pStyle w:val="ListParagraph"/>
        <w:numPr>
          <w:ilvl w:val="0"/>
          <w:numId w:val="3"/>
        </w:numPr>
        <w:spacing w:after="80"/>
      </w:pPr>
      <w:r>
        <w:rPr>
          <w:b/>
          <w:bCs/>
        </w:rPr>
        <w:t>Partner Segment</w:t>
      </w:r>
      <w:r>
        <w:t xml:space="preserve"> Partner type, geography, industry focus, and market coverage.</w:t>
      </w:r>
    </w:p>
    <w:p w14:paraId="09372272" w14:textId="77777777" w:rsidR="00C63D8D" w:rsidRDefault="00EB5FB8">
      <w:pPr>
        <w:pStyle w:val="ListParagraph"/>
        <w:numPr>
          <w:ilvl w:val="0"/>
          <w:numId w:val="3"/>
        </w:numPr>
        <w:spacing w:after="80"/>
      </w:pPr>
      <w:r>
        <w:rPr>
          <w:b/>
          <w:bCs/>
        </w:rPr>
        <w:t>Partner Motion</w:t>
      </w:r>
      <w:r>
        <w:t xml:space="preserve"> The role partners will play in the GTM model (sell, refer, implement, integrate).</w:t>
      </w:r>
    </w:p>
    <w:p w14:paraId="23311AF3" w14:textId="77777777" w:rsidR="00C63D8D" w:rsidRDefault="00EB5FB8">
      <w:pPr>
        <w:pStyle w:val="ListParagraph"/>
        <w:numPr>
          <w:ilvl w:val="0"/>
          <w:numId w:val="3"/>
        </w:numPr>
        <w:spacing w:after="80"/>
      </w:pPr>
      <w:r>
        <w:rPr>
          <w:b/>
          <w:bCs/>
        </w:rPr>
        <w:t>Operational Requirements</w:t>
      </w:r>
      <w:r>
        <w:t xml:space="preserve"> Systems, pricing models, enablement resources, and processes required.</w:t>
      </w:r>
    </w:p>
    <w:p w14:paraId="2DE3A436" w14:textId="77777777" w:rsidR="00C63D8D" w:rsidRDefault="00EB5FB8">
      <w:pPr>
        <w:pStyle w:val="ListParagraph"/>
        <w:numPr>
          <w:ilvl w:val="0"/>
          <w:numId w:val="3"/>
        </w:numPr>
        <w:spacing w:after="80"/>
      </w:pPr>
      <w:r>
        <w:rPr>
          <w:b/>
          <w:bCs/>
        </w:rPr>
        <w:lastRenderedPageBreak/>
        <w:t>Economic Model</w:t>
      </w:r>
      <w:r>
        <w:t xml:space="preserve"> Partner margin expectations, incentives, and program cost.</w:t>
      </w:r>
    </w:p>
    <w:p w14:paraId="111F6D7B" w14:textId="77777777" w:rsidR="00C63D8D" w:rsidRDefault="00EB5FB8">
      <w:pPr>
        <w:pStyle w:val="ListParagraph"/>
        <w:numPr>
          <w:ilvl w:val="0"/>
          <w:numId w:val="3"/>
        </w:numPr>
        <w:spacing w:after="80"/>
      </w:pPr>
      <w:r>
        <w:rPr>
          <w:b/>
          <w:bCs/>
        </w:rPr>
        <w:t>Risks and Dependencies</w:t>
      </w:r>
      <w:r>
        <w:t xml:space="preserve"> Operational complexity, potential channel conflict, support requirements.</w:t>
      </w:r>
    </w:p>
    <w:p w14:paraId="7DB7D48E" w14:textId="77777777" w:rsidR="00C63D8D" w:rsidRDefault="00EB5FB8">
      <w:pPr>
        <w:pStyle w:val="ListParagraph"/>
        <w:numPr>
          <w:ilvl w:val="0"/>
          <w:numId w:val="3"/>
        </w:numPr>
        <w:spacing w:after="80"/>
      </w:pPr>
      <w:r>
        <w:rPr>
          <w:b/>
          <w:bCs/>
        </w:rPr>
        <w:t>Success Metrics</w:t>
      </w:r>
      <w:r>
        <w:t xml:space="preserve"> Pipeline generation, revenue contribution, partner activation rates.</w:t>
      </w:r>
    </w:p>
    <w:p w14:paraId="106259BA" w14:textId="77777777" w:rsidR="00C63D8D" w:rsidRDefault="00C63D8D">
      <w:pPr>
        <w:pBdr>
          <w:bottom w:val="single" w:sz="4" w:space="8" w:color="A1ACA6"/>
        </w:pBdr>
        <w:spacing w:before="200" w:after="200"/>
      </w:pPr>
    </w:p>
    <w:p w14:paraId="2818FE14" w14:textId="77777777" w:rsidR="00C63D8D" w:rsidRDefault="00EB5FB8">
      <w:pPr>
        <w:pStyle w:val="Heading1"/>
      </w:pPr>
      <w:r>
        <w:t>2. Partner Operational Process Infrastructure</w:t>
      </w:r>
    </w:p>
    <w:p w14:paraId="61D80002" w14:textId="77777777" w:rsidR="00C63D8D" w:rsidRDefault="00EB5FB8">
      <w:pPr>
        <w:spacing w:after="160"/>
      </w:pPr>
      <w:r>
        <w:t>This section documents the processes required for partners and internal teams to execute consistently and efficiently.</w:t>
      </w:r>
    </w:p>
    <w:p w14:paraId="36853627" w14:textId="77777777" w:rsidR="00C63D8D" w:rsidRDefault="00EB5FB8">
      <w:pPr>
        <w:spacing w:after="160"/>
      </w:pPr>
      <w:r>
        <w:t>Standardized operational workflows allow partner programs to scale without creating operational bottlenecks.</w:t>
      </w:r>
    </w:p>
    <w:p w14:paraId="2F7B3F73" w14:textId="77777777" w:rsidR="00C63D8D" w:rsidRDefault="00EB5FB8">
      <w:pPr>
        <w:pStyle w:val="Heading2"/>
      </w:pPr>
      <w:r>
        <w:t>Core Operational Processes</w:t>
      </w:r>
    </w:p>
    <w:p w14:paraId="263DEAFB" w14:textId="77777777" w:rsidR="00C63D8D" w:rsidRDefault="00EB5FB8">
      <w:pPr>
        <w:spacing w:after="160"/>
      </w:pPr>
      <w:r>
        <w:t>Common partner processes include:</w:t>
      </w:r>
    </w:p>
    <w:p w14:paraId="306C6E9C" w14:textId="77777777" w:rsidR="00C63D8D" w:rsidRDefault="00EB5FB8">
      <w:pPr>
        <w:pStyle w:val="ListParagraph"/>
        <w:numPr>
          <w:ilvl w:val="0"/>
          <w:numId w:val="4"/>
        </w:numPr>
        <w:spacing w:after="80"/>
      </w:pPr>
      <w:r>
        <w:t>Partner onboarding and application</w:t>
      </w:r>
    </w:p>
    <w:p w14:paraId="4ADC1ED4" w14:textId="77777777" w:rsidR="00C63D8D" w:rsidRDefault="00EB5FB8">
      <w:pPr>
        <w:pStyle w:val="ListParagraph"/>
        <w:numPr>
          <w:ilvl w:val="0"/>
          <w:numId w:val="4"/>
        </w:numPr>
        <w:spacing w:after="80"/>
      </w:pPr>
      <w:r>
        <w:t>Partner deal registration</w:t>
      </w:r>
    </w:p>
    <w:p w14:paraId="799781C8" w14:textId="77777777" w:rsidR="00C63D8D" w:rsidRDefault="00EB5FB8">
      <w:pPr>
        <w:pStyle w:val="ListParagraph"/>
        <w:numPr>
          <w:ilvl w:val="0"/>
          <w:numId w:val="4"/>
        </w:numPr>
        <w:spacing w:after="80"/>
      </w:pPr>
      <w:r>
        <w:t>Partner co-</w:t>
      </w:r>
      <w:proofErr w:type="gramStart"/>
      <w:r>
        <w:t>sell</w:t>
      </w:r>
      <w:proofErr w:type="gramEnd"/>
      <w:r>
        <w:t xml:space="preserve"> workflows</w:t>
      </w:r>
    </w:p>
    <w:p w14:paraId="445ABC88" w14:textId="77777777" w:rsidR="00C63D8D" w:rsidRDefault="00EB5FB8">
      <w:pPr>
        <w:pStyle w:val="ListParagraph"/>
        <w:numPr>
          <w:ilvl w:val="0"/>
          <w:numId w:val="4"/>
        </w:numPr>
        <w:spacing w:after="80"/>
      </w:pPr>
      <w:r>
        <w:t>Lead sharing and routing</w:t>
      </w:r>
    </w:p>
    <w:p w14:paraId="67FF9661" w14:textId="77777777" w:rsidR="00C63D8D" w:rsidRDefault="00EB5FB8">
      <w:pPr>
        <w:pStyle w:val="ListParagraph"/>
        <w:numPr>
          <w:ilvl w:val="0"/>
          <w:numId w:val="4"/>
        </w:numPr>
        <w:spacing w:after="80"/>
      </w:pPr>
      <w:r>
        <w:t>Partner services delivery</w:t>
      </w:r>
    </w:p>
    <w:p w14:paraId="5338F36F" w14:textId="77777777" w:rsidR="00C63D8D" w:rsidRDefault="00EB5FB8">
      <w:pPr>
        <w:pStyle w:val="ListParagraph"/>
        <w:numPr>
          <w:ilvl w:val="0"/>
          <w:numId w:val="4"/>
        </w:numPr>
        <w:spacing w:after="80"/>
      </w:pPr>
      <w:r>
        <w:t>Incentive and rebate management</w:t>
      </w:r>
    </w:p>
    <w:p w14:paraId="4ADFCE41" w14:textId="77777777" w:rsidR="00C63D8D" w:rsidRDefault="00EB5FB8">
      <w:pPr>
        <w:pStyle w:val="ListParagraph"/>
        <w:numPr>
          <w:ilvl w:val="0"/>
          <w:numId w:val="4"/>
        </w:numPr>
        <w:spacing w:after="80"/>
      </w:pPr>
      <w:r>
        <w:t>Partner support and escalation</w:t>
      </w:r>
    </w:p>
    <w:p w14:paraId="06F860CB" w14:textId="77777777" w:rsidR="00C63D8D" w:rsidRDefault="00EB5FB8">
      <w:pPr>
        <w:pStyle w:val="ListParagraph"/>
        <w:numPr>
          <w:ilvl w:val="0"/>
          <w:numId w:val="4"/>
        </w:numPr>
        <w:spacing w:after="80"/>
      </w:pPr>
      <w:r>
        <w:t>Partner lifecycle management</w:t>
      </w:r>
    </w:p>
    <w:p w14:paraId="01A602AC" w14:textId="4715E991" w:rsidR="00C63D8D" w:rsidRDefault="00EB5FB8">
      <w:pPr>
        <w:pStyle w:val="ListParagraph"/>
        <w:numPr>
          <w:ilvl w:val="0"/>
          <w:numId w:val="4"/>
        </w:numPr>
        <w:spacing w:after="80"/>
      </w:pPr>
      <w:r>
        <w:t xml:space="preserve">Partner offboarding and </w:t>
      </w:r>
      <w:proofErr w:type="gramStart"/>
      <w:r>
        <w:t xml:space="preserve">termination </w:t>
      </w:r>
      <w:r w:rsidR="005938D4">
        <w:t>,</w:t>
      </w:r>
      <w:proofErr w:type="gramEnd"/>
      <w:r>
        <w:t xml:space="preserve"> structured process for winding down inactive or underperforming partnerships, including data handling, customer transition, and contractual closeout</w:t>
      </w:r>
    </w:p>
    <w:p w14:paraId="58C1396E" w14:textId="6C90D23E" w:rsidR="00C63D8D" w:rsidRDefault="00EB5FB8">
      <w:pPr>
        <w:pStyle w:val="ListParagraph"/>
        <w:numPr>
          <w:ilvl w:val="0"/>
          <w:numId w:val="4"/>
        </w:numPr>
        <w:spacing w:after="80"/>
      </w:pPr>
      <w:r>
        <w:t xml:space="preserve">Channel conflict </w:t>
      </w:r>
      <w:proofErr w:type="gramStart"/>
      <w:r>
        <w:t xml:space="preserve">resolution </w:t>
      </w:r>
      <w:r w:rsidR="005938D4">
        <w:t>,</w:t>
      </w:r>
      <w:proofErr w:type="gramEnd"/>
      <w:r>
        <w:t xml:space="preserve"> dedicated workflow for identifying, escalating, and resolving deal-level or territory-level conflicts between partners or between partners and direct sales</w:t>
      </w:r>
    </w:p>
    <w:p w14:paraId="07C50C9A" w14:textId="77777777" w:rsidR="00C63D8D" w:rsidRDefault="00EB5FB8">
      <w:pPr>
        <w:pStyle w:val="Heading2"/>
      </w:pPr>
      <w:r>
        <w:t>Process Documentation Template</w:t>
      </w:r>
    </w:p>
    <w:p w14:paraId="2D813482" w14:textId="77777777" w:rsidR="00C63D8D" w:rsidRDefault="00EB5FB8">
      <w:pPr>
        <w:spacing w:after="160"/>
      </w:pPr>
      <w:r>
        <w:t>Each process should include:</w:t>
      </w:r>
    </w:p>
    <w:p w14:paraId="50C81A6B" w14:textId="77777777" w:rsidR="00C63D8D" w:rsidRDefault="00EB5FB8">
      <w:pPr>
        <w:pStyle w:val="ListParagraph"/>
        <w:numPr>
          <w:ilvl w:val="0"/>
          <w:numId w:val="3"/>
        </w:numPr>
        <w:spacing w:after="80"/>
      </w:pPr>
      <w:r>
        <w:rPr>
          <w:b/>
          <w:bCs/>
        </w:rPr>
        <w:t>Process Purpose</w:t>
      </w:r>
      <w:r>
        <w:t xml:space="preserve"> Why the process exists.</w:t>
      </w:r>
    </w:p>
    <w:p w14:paraId="27AA67BE" w14:textId="77777777" w:rsidR="00C63D8D" w:rsidRDefault="00EB5FB8">
      <w:pPr>
        <w:pStyle w:val="ListParagraph"/>
        <w:numPr>
          <w:ilvl w:val="0"/>
          <w:numId w:val="3"/>
        </w:numPr>
        <w:spacing w:after="80"/>
      </w:pPr>
      <w:r>
        <w:rPr>
          <w:b/>
          <w:bCs/>
        </w:rPr>
        <w:t>Process Owner</w:t>
      </w:r>
      <w:r>
        <w:t xml:space="preserve"> Responsible team (Partner Ops, Sales Ops, Finance, Channel Team).</w:t>
      </w:r>
    </w:p>
    <w:p w14:paraId="4F5ABAF1" w14:textId="77777777" w:rsidR="00C63D8D" w:rsidRDefault="00EB5FB8">
      <w:pPr>
        <w:pStyle w:val="ListParagraph"/>
        <w:numPr>
          <w:ilvl w:val="0"/>
          <w:numId w:val="3"/>
        </w:numPr>
        <w:spacing w:after="80"/>
      </w:pPr>
      <w:r>
        <w:rPr>
          <w:b/>
          <w:bCs/>
        </w:rPr>
        <w:t>Trigger Event</w:t>
      </w:r>
      <w:r>
        <w:t xml:space="preserve"> What initiates the process.</w:t>
      </w:r>
    </w:p>
    <w:p w14:paraId="66C27E00" w14:textId="77777777" w:rsidR="00C63D8D" w:rsidRDefault="00EB5FB8">
      <w:pPr>
        <w:pStyle w:val="ListParagraph"/>
        <w:numPr>
          <w:ilvl w:val="0"/>
          <w:numId w:val="3"/>
        </w:numPr>
        <w:spacing w:after="80"/>
      </w:pPr>
      <w:r>
        <w:rPr>
          <w:b/>
          <w:bCs/>
        </w:rPr>
        <w:t>Workflow Steps</w:t>
      </w:r>
      <w:r>
        <w:t xml:space="preserve"> Step-by-step operational flow.</w:t>
      </w:r>
    </w:p>
    <w:p w14:paraId="4E68A6A8" w14:textId="77777777" w:rsidR="00C63D8D" w:rsidRDefault="00EB5FB8">
      <w:pPr>
        <w:pStyle w:val="ListParagraph"/>
        <w:numPr>
          <w:ilvl w:val="0"/>
          <w:numId w:val="3"/>
        </w:numPr>
        <w:spacing w:after="80"/>
      </w:pPr>
      <w:r>
        <w:rPr>
          <w:b/>
          <w:bCs/>
        </w:rPr>
        <w:t>Systems Used</w:t>
      </w:r>
      <w:r>
        <w:t xml:space="preserve"> CRM, PRM, partner portals, quoting tools.</w:t>
      </w:r>
    </w:p>
    <w:p w14:paraId="1FCE6103" w14:textId="77777777" w:rsidR="00C63D8D" w:rsidRDefault="00EB5FB8">
      <w:pPr>
        <w:pStyle w:val="ListParagraph"/>
        <w:numPr>
          <w:ilvl w:val="0"/>
          <w:numId w:val="3"/>
        </w:numPr>
        <w:spacing w:after="80"/>
      </w:pPr>
      <w:r>
        <w:rPr>
          <w:b/>
          <w:bCs/>
        </w:rPr>
        <w:t>Service Level Agreements (SLAs)</w:t>
      </w:r>
      <w:r>
        <w:t xml:space="preserve"> Expected response or completion timelines.</w:t>
      </w:r>
    </w:p>
    <w:p w14:paraId="4B6C6BBB" w14:textId="77777777" w:rsidR="00C63D8D" w:rsidRDefault="00EB5FB8">
      <w:pPr>
        <w:pStyle w:val="ListParagraph"/>
        <w:numPr>
          <w:ilvl w:val="0"/>
          <w:numId w:val="3"/>
        </w:numPr>
        <w:spacing w:after="80"/>
      </w:pPr>
      <w:r>
        <w:rPr>
          <w:b/>
          <w:bCs/>
        </w:rPr>
        <w:t>Exception Handling</w:t>
      </w:r>
      <w:r>
        <w:t xml:space="preserve"> How edge cases or conflicts are managed.</w:t>
      </w:r>
    </w:p>
    <w:p w14:paraId="196DD541" w14:textId="77777777" w:rsidR="00C63D8D" w:rsidRDefault="00EB5FB8">
      <w:pPr>
        <w:pStyle w:val="ListParagraph"/>
        <w:numPr>
          <w:ilvl w:val="0"/>
          <w:numId w:val="3"/>
        </w:numPr>
        <w:spacing w:after="80"/>
      </w:pPr>
      <w:r>
        <w:rPr>
          <w:b/>
          <w:bCs/>
        </w:rPr>
        <w:lastRenderedPageBreak/>
        <w:t>Operational Metrics</w:t>
      </w:r>
      <w:r>
        <w:t xml:space="preserve"> Cycle time, adoption rates, and operational efficiency indicators.</w:t>
      </w:r>
    </w:p>
    <w:p w14:paraId="259ADCCE" w14:textId="77777777" w:rsidR="00C63D8D" w:rsidRDefault="00C63D8D">
      <w:pPr>
        <w:pBdr>
          <w:bottom w:val="single" w:sz="4" w:space="8" w:color="A1ACA6"/>
        </w:pBdr>
        <w:spacing w:before="200" w:after="200"/>
      </w:pPr>
    </w:p>
    <w:p w14:paraId="41159B89" w14:textId="77777777" w:rsidR="00C63D8D" w:rsidRDefault="00EB5FB8">
      <w:pPr>
        <w:pStyle w:val="Heading1"/>
      </w:pPr>
      <w:r>
        <w:t>3. Partner Pricing &amp; Commercial Strategy</w:t>
      </w:r>
    </w:p>
    <w:p w14:paraId="74FCA24B" w14:textId="77777777" w:rsidR="00C63D8D" w:rsidRDefault="00EB5FB8">
      <w:pPr>
        <w:spacing w:after="160"/>
      </w:pPr>
      <w:r>
        <w:t>Partner pricing infrastructure defines the economic structure that allows partners to participate in the vendor’s go-to-market motion.</w:t>
      </w:r>
    </w:p>
    <w:p w14:paraId="1AEB1B0C" w14:textId="77777777" w:rsidR="00C63D8D" w:rsidRDefault="00EB5FB8">
      <w:pPr>
        <w:spacing w:after="160"/>
      </w:pPr>
      <w:r>
        <w:t>This section should be maintained as a distinct discipline because pricing directly impacts partner profitability, deal velocity, and channel conflict.</w:t>
      </w:r>
    </w:p>
    <w:p w14:paraId="48796251" w14:textId="77777777" w:rsidR="00C63D8D" w:rsidRDefault="00EB5FB8">
      <w:pPr>
        <w:pStyle w:val="Heading2"/>
      </w:pPr>
      <w:r>
        <w:t>Partner Price Book Components</w:t>
      </w:r>
    </w:p>
    <w:p w14:paraId="73BD97C9" w14:textId="77777777" w:rsidR="00C63D8D" w:rsidRDefault="00EB5FB8">
      <w:pPr>
        <w:spacing w:before="200" w:after="120"/>
      </w:pPr>
      <w:r>
        <w:rPr>
          <w:rFonts w:ascii="Georgia" w:eastAsia="Georgia" w:hAnsi="Georgia" w:cs="Georgia"/>
          <w:b/>
          <w:bCs/>
          <w:color w:val="46624C"/>
        </w:rPr>
        <w:t>Product Catalog</w:t>
      </w:r>
    </w:p>
    <w:p w14:paraId="4B74FC78" w14:textId="77777777" w:rsidR="00C63D8D" w:rsidRDefault="00EB5FB8">
      <w:pPr>
        <w:pStyle w:val="ListParagraph"/>
        <w:numPr>
          <w:ilvl w:val="0"/>
          <w:numId w:val="5"/>
        </w:numPr>
        <w:spacing w:after="80"/>
      </w:pPr>
      <w:r>
        <w:t>Product SKUs</w:t>
      </w:r>
    </w:p>
    <w:p w14:paraId="62066A93" w14:textId="77777777" w:rsidR="00C63D8D" w:rsidRDefault="00EB5FB8">
      <w:pPr>
        <w:pStyle w:val="ListParagraph"/>
        <w:numPr>
          <w:ilvl w:val="0"/>
          <w:numId w:val="5"/>
        </w:numPr>
        <w:spacing w:after="80"/>
      </w:pPr>
      <w:r>
        <w:t>Product descriptions</w:t>
      </w:r>
    </w:p>
    <w:p w14:paraId="2B336138" w14:textId="77777777" w:rsidR="00C63D8D" w:rsidRDefault="00EB5FB8">
      <w:pPr>
        <w:pStyle w:val="ListParagraph"/>
        <w:numPr>
          <w:ilvl w:val="0"/>
          <w:numId w:val="5"/>
        </w:numPr>
        <w:spacing w:after="80"/>
      </w:pPr>
      <w:r>
        <w:t>Standard list pricing</w:t>
      </w:r>
    </w:p>
    <w:p w14:paraId="6D2576AF" w14:textId="77777777" w:rsidR="00C63D8D" w:rsidRDefault="00EB5FB8">
      <w:pPr>
        <w:pStyle w:val="ListParagraph"/>
        <w:numPr>
          <w:ilvl w:val="0"/>
          <w:numId w:val="5"/>
        </w:numPr>
        <w:spacing w:after="80"/>
      </w:pPr>
      <w:r>
        <w:t>Packaging structures</w:t>
      </w:r>
    </w:p>
    <w:p w14:paraId="51471381" w14:textId="77777777" w:rsidR="00C63D8D" w:rsidRDefault="00EB5FB8">
      <w:pPr>
        <w:pStyle w:val="ListParagraph"/>
        <w:numPr>
          <w:ilvl w:val="0"/>
          <w:numId w:val="5"/>
        </w:numPr>
        <w:spacing w:after="80"/>
      </w:pPr>
      <w:r>
        <w:t>Pricing and business rules</w:t>
      </w:r>
    </w:p>
    <w:p w14:paraId="2EC4267D" w14:textId="77777777" w:rsidR="00C63D8D" w:rsidRDefault="00EB5FB8">
      <w:pPr>
        <w:spacing w:before="200" w:after="120"/>
      </w:pPr>
      <w:r>
        <w:rPr>
          <w:rFonts w:ascii="Georgia" w:eastAsia="Georgia" w:hAnsi="Georgia" w:cs="Georgia"/>
          <w:b/>
          <w:bCs/>
          <w:color w:val="46624C"/>
        </w:rPr>
        <w:t>Partner Discount Framework</w:t>
      </w:r>
    </w:p>
    <w:p w14:paraId="36054F18" w14:textId="77777777" w:rsidR="00C63D8D" w:rsidRDefault="00EB5FB8">
      <w:pPr>
        <w:spacing w:after="160"/>
      </w:pPr>
      <w:r>
        <w:t>Discount structures aligned with partner tiers or capabilities. Example structures might include tiered discount schedules based on partner level (e.g., Authorized, Premier, Elite), volume-based discounts, or deal-size breakpoints.</w:t>
      </w:r>
    </w:p>
    <w:p w14:paraId="04B822B7" w14:textId="77777777" w:rsidR="00C63D8D" w:rsidRDefault="00EB5FB8">
      <w:pPr>
        <w:spacing w:before="200" w:after="120"/>
      </w:pPr>
      <w:r>
        <w:rPr>
          <w:rFonts w:ascii="Georgia" w:eastAsia="Georgia" w:hAnsi="Georgia" w:cs="Georgia"/>
          <w:b/>
          <w:bCs/>
          <w:color w:val="46624C"/>
        </w:rPr>
        <w:t>Motion-Based Commercial Models</w:t>
      </w:r>
    </w:p>
    <w:p w14:paraId="2718758A" w14:textId="77777777" w:rsidR="00C63D8D" w:rsidRDefault="00EB5FB8">
      <w:pPr>
        <w:spacing w:after="160"/>
      </w:pPr>
      <w:r>
        <w:t>Different partner motions require different economic structures. The commercial model should define how each motion is compensated:</w:t>
      </w:r>
    </w:p>
    <w:p w14:paraId="7061E54E" w14:textId="17F6B594" w:rsidR="00C63D8D" w:rsidRDefault="00EB5FB8">
      <w:pPr>
        <w:pStyle w:val="ListParagraph"/>
        <w:numPr>
          <w:ilvl w:val="0"/>
          <w:numId w:val="6"/>
        </w:numPr>
        <w:spacing w:after="80"/>
      </w:pPr>
      <w:proofErr w:type="gramStart"/>
      <w:r>
        <w:t xml:space="preserve">Resell </w:t>
      </w:r>
      <w:r w:rsidR="005938D4">
        <w:t>,</w:t>
      </w:r>
      <w:proofErr w:type="gramEnd"/>
      <w:r>
        <w:t xml:space="preserve"> partner discount off list price, with margin expectations defined by tier</w:t>
      </w:r>
    </w:p>
    <w:p w14:paraId="76A6C7AF" w14:textId="25B33CB8" w:rsidR="00C63D8D" w:rsidRDefault="00EB5FB8">
      <w:pPr>
        <w:pStyle w:val="ListParagraph"/>
        <w:numPr>
          <w:ilvl w:val="0"/>
          <w:numId w:val="6"/>
        </w:numPr>
        <w:spacing w:after="80"/>
      </w:pPr>
      <w:proofErr w:type="gramStart"/>
      <w:r>
        <w:t xml:space="preserve">Referral </w:t>
      </w:r>
      <w:r w:rsidR="005938D4">
        <w:t>,</w:t>
      </w:r>
      <w:proofErr w:type="gramEnd"/>
      <w:r>
        <w:t xml:space="preserve"> referral fee or revenue share percentage on closed deals</w:t>
      </w:r>
    </w:p>
    <w:p w14:paraId="77478992" w14:textId="28E76EA1" w:rsidR="00C63D8D" w:rsidRDefault="00EB5FB8">
      <w:pPr>
        <w:pStyle w:val="ListParagraph"/>
        <w:numPr>
          <w:ilvl w:val="0"/>
          <w:numId w:val="6"/>
        </w:numPr>
        <w:spacing w:after="80"/>
      </w:pPr>
      <w:r>
        <w:t>Co-</w:t>
      </w:r>
      <w:proofErr w:type="gramStart"/>
      <w:r>
        <w:t xml:space="preserve">sell </w:t>
      </w:r>
      <w:r w:rsidR="005938D4">
        <w:t>,</w:t>
      </w:r>
      <w:proofErr w:type="gramEnd"/>
      <w:r>
        <w:t xml:space="preserve"> shared economics between partner and direct sales, with clear rules on credit and compensation</w:t>
      </w:r>
    </w:p>
    <w:p w14:paraId="0E758FC4" w14:textId="7D597D2C" w:rsidR="00C63D8D" w:rsidRDefault="00EB5FB8">
      <w:pPr>
        <w:pStyle w:val="ListParagraph"/>
        <w:numPr>
          <w:ilvl w:val="0"/>
          <w:numId w:val="6"/>
        </w:numPr>
        <w:spacing w:after="80"/>
      </w:pPr>
      <w:r>
        <w:t>Services/</w:t>
      </w:r>
      <w:proofErr w:type="gramStart"/>
      <w:r>
        <w:t xml:space="preserve">Implementation </w:t>
      </w:r>
      <w:r w:rsidR="005938D4">
        <w:t>,</w:t>
      </w:r>
      <w:proofErr w:type="gramEnd"/>
      <w:r>
        <w:t xml:space="preserve"> partner retains services revenue; vendor may offer project-based incentives</w:t>
      </w:r>
    </w:p>
    <w:p w14:paraId="4F191111" w14:textId="17A4F354" w:rsidR="00C63D8D" w:rsidRDefault="00EB5FB8">
      <w:pPr>
        <w:pStyle w:val="ListParagraph"/>
        <w:numPr>
          <w:ilvl w:val="0"/>
          <w:numId w:val="6"/>
        </w:numPr>
        <w:spacing w:after="80"/>
      </w:pPr>
      <w:proofErr w:type="gramStart"/>
      <w:r>
        <w:t xml:space="preserve">Marketplace </w:t>
      </w:r>
      <w:r w:rsidR="005938D4">
        <w:t>,</w:t>
      </w:r>
      <w:proofErr w:type="gramEnd"/>
      <w:r>
        <w:t xml:space="preserve"> marketplace fees, listing economics, and any vendor-funded incentives for transacting through the platform</w:t>
      </w:r>
    </w:p>
    <w:p w14:paraId="0FB0A23B" w14:textId="5989AD4A" w:rsidR="00C63D8D" w:rsidRDefault="00EB5FB8">
      <w:pPr>
        <w:pStyle w:val="ListParagraph"/>
        <w:numPr>
          <w:ilvl w:val="0"/>
          <w:numId w:val="6"/>
        </w:numPr>
        <w:spacing w:after="80"/>
      </w:pPr>
      <w:r>
        <w:t>GSI/</w:t>
      </w:r>
      <w:proofErr w:type="gramStart"/>
      <w:r>
        <w:t xml:space="preserve">SI </w:t>
      </w:r>
      <w:r w:rsidR="005938D4">
        <w:t>,</w:t>
      </w:r>
      <w:proofErr w:type="gramEnd"/>
      <w:r>
        <w:t xml:space="preserve"> economic structures for systems integrators typically center on services revenue rather than resale margin. GSIs and larger SIs often expect co-investment in solution development, joint go-to-market funding, influence-based compensation models (where the partner drives the deal but may not transact it), and dedicated alliance development funds. Commercial terms are frequently negotiated at </w:t>
      </w:r>
      <w:proofErr w:type="gramStart"/>
      <w:r>
        <w:t>the</w:t>
      </w:r>
      <w:proofErr w:type="gramEnd"/>
      <w:r>
        <w:t xml:space="preserve"> strategic level and may not fit standard tier-based discount frameworks</w:t>
      </w:r>
    </w:p>
    <w:p w14:paraId="064C57E0" w14:textId="05FEC7DD" w:rsidR="00C63D8D" w:rsidRDefault="00EB5FB8">
      <w:pPr>
        <w:pStyle w:val="ListParagraph"/>
        <w:numPr>
          <w:ilvl w:val="0"/>
          <w:numId w:val="6"/>
        </w:numPr>
        <w:spacing w:after="80"/>
      </w:pPr>
      <w:r>
        <w:lastRenderedPageBreak/>
        <w:t xml:space="preserve">Technology </w:t>
      </w:r>
      <w:proofErr w:type="gramStart"/>
      <w:r>
        <w:t xml:space="preserve">Alliance </w:t>
      </w:r>
      <w:r w:rsidR="005938D4">
        <w:t>,</w:t>
      </w:r>
      <w:proofErr w:type="gramEnd"/>
      <w:r>
        <w:t xml:space="preserve"> technology partners (ISVs, platform providers, complementary technology vendors) typically operate on integration-driven economics rather than transactional compensation. Structures may include joint solution revenue sharing, embedded OEM licensing, marketplace co-sell incentives, mutual lead-sharing with referral fees, and co-funded go-to-market programs. The economic model should also account for technical integration investment and ongoing interoperability maintenance costs</w:t>
      </w:r>
    </w:p>
    <w:p w14:paraId="39D3E6D2" w14:textId="77777777" w:rsidR="00C63D8D" w:rsidRDefault="00EB5FB8">
      <w:pPr>
        <w:spacing w:before="200" w:after="120"/>
      </w:pPr>
      <w:r>
        <w:rPr>
          <w:rFonts w:ascii="Georgia" w:eastAsia="Georgia" w:hAnsi="Georgia" w:cs="Georgia"/>
          <w:b/>
          <w:bCs/>
          <w:color w:val="46624C"/>
        </w:rPr>
        <w:t>Strategic Discount Controls</w:t>
      </w:r>
    </w:p>
    <w:p w14:paraId="114AD3D8" w14:textId="77777777" w:rsidR="00C63D8D" w:rsidRDefault="00EB5FB8">
      <w:pPr>
        <w:pStyle w:val="ListParagraph"/>
        <w:numPr>
          <w:ilvl w:val="0"/>
          <w:numId w:val="7"/>
        </w:numPr>
        <w:spacing w:after="80"/>
      </w:pPr>
      <w:r>
        <w:t>Maximum discount thresholds</w:t>
      </w:r>
    </w:p>
    <w:p w14:paraId="7EADB8DE" w14:textId="77777777" w:rsidR="00C63D8D" w:rsidRDefault="00EB5FB8">
      <w:pPr>
        <w:pStyle w:val="ListParagraph"/>
        <w:numPr>
          <w:ilvl w:val="0"/>
          <w:numId w:val="7"/>
        </w:numPr>
        <w:spacing w:after="80"/>
      </w:pPr>
      <w:r>
        <w:t>Deal size breakpoints</w:t>
      </w:r>
    </w:p>
    <w:p w14:paraId="699A0DB7" w14:textId="77777777" w:rsidR="00C63D8D" w:rsidRDefault="00EB5FB8">
      <w:pPr>
        <w:pStyle w:val="ListParagraph"/>
        <w:numPr>
          <w:ilvl w:val="0"/>
          <w:numId w:val="7"/>
        </w:numPr>
        <w:spacing w:after="80"/>
      </w:pPr>
      <w:r>
        <w:t>Pricing approval workflows</w:t>
      </w:r>
    </w:p>
    <w:p w14:paraId="560D0311" w14:textId="77777777" w:rsidR="00C63D8D" w:rsidRDefault="00EB5FB8">
      <w:pPr>
        <w:pStyle w:val="ListParagraph"/>
        <w:numPr>
          <w:ilvl w:val="0"/>
          <w:numId w:val="7"/>
        </w:numPr>
        <w:spacing w:after="80"/>
      </w:pPr>
      <w:r>
        <w:t>Strategic account rules</w:t>
      </w:r>
    </w:p>
    <w:p w14:paraId="4C3B77FF" w14:textId="77777777" w:rsidR="00C63D8D" w:rsidRDefault="00EB5FB8">
      <w:pPr>
        <w:spacing w:before="200" w:after="120"/>
      </w:pPr>
      <w:r>
        <w:rPr>
          <w:rFonts w:ascii="Georgia" w:eastAsia="Georgia" w:hAnsi="Georgia" w:cs="Georgia"/>
          <w:b/>
          <w:bCs/>
          <w:color w:val="46624C"/>
        </w:rPr>
        <w:t>Renewal and Expansion Pricing</w:t>
      </w:r>
    </w:p>
    <w:p w14:paraId="20773CCB" w14:textId="77777777" w:rsidR="00C63D8D" w:rsidRDefault="00EB5FB8">
      <w:pPr>
        <w:spacing w:after="160"/>
      </w:pPr>
      <w:r>
        <w:t xml:space="preserve">Initial </w:t>
      </w:r>
      <w:proofErr w:type="gramStart"/>
      <w:r>
        <w:t>sale economics</w:t>
      </w:r>
      <w:proofErr w:type="gramEnd"/>
      <w:r>
        <w:t xml:space="preserve"> often differ from renewal and expansion economics, and failing to define this clearly creates friction and channel conflict over time. This section should address:</w:t>
      </w:r>
    </w:p>
    <w:p w14:paraId="1963F258" w14:textId="77777777" w:rsidR="00C63D8D" w:rsidRDefault="00EB5FB8">
      <w:pPr>
        <w:pStyle w:val="ListParagraph"/>
        <w:numPr>
          <w:ilvl w:val="0"/>
          <w:numId w:val="8"/>
        </w:numPr>
        <w:spacing w:after="80"/>
      </w:pPr>
      <w:r>
        <w:t>Partner margin on renewals versus new business</w:t>
      </w:r>
    </w:p>
    <w:p w14:paraId="2A54CF18" w14:textId="77777777" w:rsidR="00C63D8D" w:rsidRDefault="00EB5FB8">
      <w:pPr>
        <w:pStyle w:val="ListParagraph"/>
        <w:numPr>
          <w:ilvl w:val="0"/>
          <w:numId w:val="8"/>
        </w:numPr>
        <w:spacing w:after="80"/>
      </w:pPr>
      <w:r>
        <w:t xml:space="preserve">Expansion and </w:t>
      </w:r>
      <w:proofErr w:type="gramStart"/>
      <w:r>
        <w:t>upsell</w:t>
      </w:r>
      <w:proofErr w:type="gramEnd"/>
      <w:r>
        <w:t xml:space="preserve"> compensation (who gets credit when an existing customer grows)</w:t>
      </w:r>
    </w:p>
    <w:p w14:paraId="12999D3E" w14:textId="10AD20CA" w:rsidR="00C63D8D" w:rsidRDefault="00EB5FB8">
      <w:pPr>
        <w:pStyle w:val="ListParagraph"/>
        <w:numPr>
          <w:ilvl w:val="0"/>
          <w:numId w:val="8"/>
        </w:numPr>
        <w:spacing w:after="80"/>
      </w:pPr>
      <w:r>
        <w:t xml:space="preserve">Incumbency </w:t>
      </w:r>
      <w:proofErr w:type="gramStart"/>
      <w:r>
        <w:t xml:space="preserve">rules </w:t>
      </w:r>
      <w:r w:rsidR="005938D4">
        <w:t>,</w:t>
      </w:r>
      <w:proofErr w:type="gramEnd"/>
      <w:r>
        <w:t xml:space="preserve"> whether the original selling partner retains renewal rights or if renewals are open</w:t>
      </w:r>
    </w:p>
    <w:p w14:paraId="2A321EFA" w14:textId="77777777" w:rsidR="00C63D8D" w:rsidRDefault="00EB5FB8">
      <w:pPr>
        <w:pStyle w:val="ListParagraph"/>
        <w:numPr>
          <w:ilvl w:val="0"/>
          <w:numId w:val="8"/>
        </w:numPr>
        <w:spacing w:after="80"/>
      </w:pPr>
      <w:r>
        <w:t>Auto-renewal handling and partner notification requirements</w:t>
      </w:r>
    </w:p>
    <w:p w14:paraId="5FDB3349" w14:textId="77777777" w:rsidR="00C63D8D" w:rsidRDefault="00EB5FB8">
      <w:pPr>
        <w:spacing w:before="200" w:after="120"/>
      </w:pPr>
      <w:r>
        <w:rPr>
          <w:rFonts w:ascii="Georgia" w:eastAsia="Georgia" w:hAnsi="Georgia" w:cs="Georgia"/>
          <w:b/>
          <w:bCs/>
          <w:color w:val="46624C"/>
        </w:rPr>
        <w:t>Ramp and Retention Incentives</w:t>
      </w:r>
    </w:p>
    <w:p w14:paraId="774B68E2" w14:textId="77777777" w:rsidR="00C63D8D" w:rsidRDefault="00EB5FB8">
      <w:pPr>
        <w:spacing w:after="160"/>
      </w:pPr>
      <w:r>
        <w:t>Standard discount frameworks may not be sufficient to drive desired partner behavior during two critical phases: initial onboarding and customer retention/expansion. Dedicated incentive structures should be defined for both.</w:t>
      </w:r>
    </w:p>
    <w:p w14:paraId="23039F7D" w14:textId="77777777" w:rsidR="00C63D8D" w:rsidRDefault="00EB5FB8">
      <w:pPr>
        <w:spacing w:after="160"/>
      </w:pPr>
      <w:r>
        <w:t>New partner ramp incentives help partners build momentum during the onboarding period, when deal flow is low and the learning curve is steep. These might include:</w:t>
      </w:r>
    </w:p>
    <w:p w14:paraId="5D0A3BC6" w14:textId="77777777" w:rsidR="00C63D8D" w:rsidRDefault="00EB5FB8">
      <w:pPr>
        <w:pStyle w:val="ListParagraph"/>
        <w:numPr>
          <w:ilvl w:val="0"/>
          <w:numId w:val="8"/>
        </w:numPr>
        <w:spacing w:after="80"/>
      </w:pPr>
      <w:r>
        <w:t>Onboarding bonuses tied to completing enablement milestones or closing a first deal within a defined window</w:t>
      </w:r>
    </w:p>
    <w:p w14:paraId="6CA41210" w14:textId="22D1C57A" w:rsidR="00C63D8D" w:rsidRDefault="00EB5FB8">
      <w:pPr>
        <w:pStyle w:val="ListParagraph"/>
        <w:numPr>
          <w:ilvl w:val="0"/>
          <w:numId w:val="8"/>
        </w:numPr>
        <w:spacing w:after="80"/>
      </w:pPr>
      <w:r>
        <w:t xml:space="preserve">First-deal </w:t>
      </w:r>
      <w:proofErr w:type="gramStart"/>
      <w:r>
        <w:t xml:space="preserve">accelerators </w:t>
      </w:r>
      <w:r w:rsidR="005938D4">
        <w:t>,</w:t>
      </w:r>
      <w:proofErr w:type="gramEnd"/>
      <w:r>
        <w:t xml:space="preserve"> temporarily enhanced margins or bonus payouts on the first several closed deals</w:t>
      </w:r>
    </w:p>
    <w:p w14:paraId="6D55E8AB" w14:textId="4009B1D0" w:rsidR="00C63D8D" w:rsidRDefault="00EB5FB8">
      <w:pPr>
        <w:pStyle w:val="ListParagraph"/>
        <w:numPr>
          <w:ilvl w:val="0"/>
          <w:numId w:val="8"/>
        </w:numPr>
        <w:spacing w:after="80"/>
      </w:pPr>
      <w:r>
        <w:t xml:space="preserve">Protected or seeded </w:t>
      </w:r>
      <w:proofErr w:type="gramStart"/>
      <w:r>
        <w:t xml:space="preserve">pipeline </w:t>
      </w:r>
      <w:r w:rsidR="005938D4">
        <w:t>,</w:t>
      </w:r>
      <w:proofErr w:type="gramEnd"/>
      <w:r>
        <w:t xml:space="preserve"> vendor-sourced opportunities routed to new partners to build early wins and confidence</w:t>
      </w:r>
    </w:p>
    <w:p w14:paraId="13CBE7E0" w14:textId="035A317D" w:rsidR="00C63D8D" w:rsidRDefault="00EB5FB8">
      <w:pPr>
        <w:pStyle w:val="ListParagraph"/>
        <w:numPr>
          <w:ilvl w:val="0"/>
          <w:numId w:val="8"/>
        </w:numPr>
        <w:spacing w:after="80"/>
      </w:pPr>
      <w:r>
        <w:t xml:space="preserve">Time-bound margin </w:t>
      </w:r>
      <w:proofErr w:type="gramStart"/>
      <w:r>
        <w:t xml:space="preserve">enhancements </w:t>
      </w:r>
      <w:r w:rsidR="005938D4">
        <w:t>,</w:t>
      </w:r>
      <w:proofErr w:type="gramEnd"/>
      <w:r>
        <w:t xml:space="preserve"> elevated discount levels during the first 90–180 days that step down to standard rates</w:t>
      </w:r>
    </w:p>
    <w:p w14:paraId="108B4AAE" w14:textId="77777777" w:rsidR="00C63D8D" w:rsidRDefault="00EB5FB8">
      <w:pPr>
        <w:spacing w:after="160"/>
      </w:pPr>
      <w:r>
        <w:t>Upsell and retention incentives motivate partners to proactively drive expansion and protect the existing customer base, rather than passively renewing:</w:t>
      </w:r>
    </w:p>
    <w:p w14:paraId="4ABCA191" w14:textId="654D57C2" w:rsidR="00C63D8D" w:rsidRDefault="00EB5FB8">
      <w:pPr>
        <w:pStyle w:val="ListParagraph"/>
        <w:numPr>
          <w:ilvl w:val="0"/>
          <w:numId w:val="8"/>
        </w:numPr>
        <w:spacing w:after="80"/>
      </w:pPr>
      <w:r>
        <w:t xml:space="preserve">SPIFs for </w:t>
      </w:r>
      <w:proofErr w:type="gramStart"/>
      <w:r>
        <w:t xml:space="preserve">upsell </w:t>
      </w:r>
      <w:r w:rsidR="005938D4">
        <w:t>,</w:t>
      </w:r>
      <w:proofErr w:type="gramEnd"/>
      <w:r>
        <w:t xml:space="preserve"> per-deal or percentage-based bonuses for expanding product adoption within existing accounts</w:t>
      </w:r>
    </w:p>
    <w:p w14:paraId="418F25E5" w14:textId="40F0A1D6" w:rsidR="00C63D8D" w:rsidRDefault="00EB5FB8">
      <w:pPr>
        <w:pStyle w:val="ListParagraph"/>
        <w:numPr>
          <w:ilvl w:val="0"/>
          <w:numId w:val="8"/>
        </w:numPr>
        <w:spacing w:after="80"/>
      </w:pPr>
      <w:r>
        <w:t xml:space="preserve">Retention </w:t>
      </w:r>
      <w:proofErr w:type="gramStart"/>
      <w:r>
        <w:t xml:space="preserve">bonuses </w:t>
      </w:r>
      <w:r w:rsidR="005938D4">
        <w:t>,</w:t>
      </w:r>
      <w:proofErr w:type="gramEnd"/>
      <w:r>
        <w:t xml:space="preserve"> incentive payouts tied to customer renewal rates or net revenue retention targets</w:t>
      </w:r>
    </w:p>
    <w:p w14:paraId="2BADA373" w14:textId="674777A1" w:rsidR="00C63D8D" w:rsidRDefault="00EB5FB8">
      <w:pPr>
        <w:pStyle w:val="ListParagraph"/>
        <w:numPr>
          <w:ilvl w:val="0"/>
          <w:numId w:val="8"/>
        </w:numPr>
        <w:spacing w:after="80"/>
      </w:pPr>
      <w:r>
        <w:lastRenderedPageBreak/>
        <w:t xml:space="preserve">Customer success </w:t>
      </w:r>
      <w:proofErr w:type="gramStart"/>
      <w:r>
        <w:t xml:space="preserve">incentives </w:t>
      </w:r>
      <w:r w:rsidR="005938D4">
        <w:t>,</w:t>
      </w:r>
      <w:proofErr w:type="gramEnd"/>
      <w:r>
        <w:t xml:space="preserve"> rewards for partners who demonstrate measurable impact on customer adoption, satisfaction, or health scores</w:t>
      </w:r>
    </w:p>
    <w:p w14:paraId="3F6443C6" w14:textId="187BDF1A" w:rsidR="00C63D8D" w:rsidRDefault="00EB5FB8">
      <w:pPr>
        <w:pStyle w:val="ListParagraph"/>
        <w:numPr>
          <w:ilvl w:val="0"/>
          <w:numId w:val="8"/>
        </w:numPr>
        <w:spacing w:after="80"/>
      </w:pPr>
      <w:r>
        <w:t xml:space="preserve">Expansion sourcing </w:t>
      </w:r>
      <w:proofErr w:type="gramStart"/>
      <w:r>
        <w:t xml:space="preserve">credit </w:t>
      </w:r>
      <w:r w:rsidR="005938D4">
        <w:t>,</w:t>
      </w:r>
      <w:proofErr w:type="gramEnd"/>
      <w:r>
        <w:t xml:space="preserve"> ensuring partners receive appropriate credit and compensation when they identify and close growth opportunities within their install base</w:t>
      </w:r>
    </w:p>
    <w:p w14:paraId="0488EA56" w14:textId="77777777" w:rsidR="00C63D8D" w:rsidRDefault="00EB5FB8">
      <w:pPr>
        <w:spacing w:before="200" w:after="120"/>
      </w:pPr>
      <w:r>
        <w:rPr>
          <w:rFonts w:ascii="Georgia" w:eastAsia="Georgia" w:hAnsi="Georgia" w:cs="Georgia"/>
          <w:b/>
          <w:bCs/>
          <w:color w:val="46624C"/>
        </w:rPr>
        <w:t>Partner Profitability Modeling</w:t>
      </w:r>
    </w:p>
    <w:p w14:paraId="13928BD5" w14:textId="77777777" w:rsidR="00C63D8D" w:rsidRDefault="00EB5FB8">
      <w:pPr>
        <w:spacing w:after="160"/>
      </w:pPr>
      <w:r>
        <w:t>Partner pricing should include clear economic modeling showing expected partner margins and revenue opportunity at each tier or motion type.</w:t>
      </w:r>
    </w:p>
    <w:p w14:paraId="780B32C2" w14:textId="77777777" w:rsidR="00C63D8D" w:rsidRDefault="00C63D8D">
      <w:pPr>
        <w:pBdr>
          <w:bottom w:val="single" w:sz="4" w:space="8" w:color="A1ACA6"/>
        </w:pBdr>
        <w:spacing w:before="200" w:after="200"/>
      </w:pPr>
    </w:p>
    <w:p w14:paraId="60A72826" w14:textId="77777777" w:rsidR="00C63D8D" w:rsidRDefault="00EB5FB8">
      <w:pPr>
        <w:pStyle w:val="Heading1"/>
      </w:pPr>
      <w:r>
        <w:t>4. Partner Enablement Infrastructure</w:t>
      </w:r>
    </w:p>
    <w:p w14:paraId="07BC1466" w14:textId="77777777" w:rsidR="00C63D8D" w:rsidRDefault="00EB5FB8">
      <w:pPr>
        <w:spacing w:after="160"/>
      </w:pPr>
      <w:r>
        <w:t>Enablement resources equip partners with the knowledge, tools, and messaging required to execute their role within the ecosystem.</w:t>
      </w:r>
    </w:p>
    <w:p w14:paraId="55673152" w14:textId="77777777" w:rsidR="00C63D8D" w:rsidRDefault="00EB5FB8">
      <w:pPr>
        <w:spacing w:after="160"/>
      </w:pPr>
      <w:r>
        <w:t>Where operational processes define how the vendor operates, enablement resources explain how partners succeed within that system.</w:t>
      </w:r>
    </w:p>
    <w:p w14:paraId="72DBED54" w14:textId="77777777" w:rsidR="00C63D8D" w:rsidRDefault="00EB5FB8">
      <w:pPr>
        <w:pStyle w:val="Heading2"/>
      </w:pPr>
      <w:r>
        <w:t>Core Enablement Resource Types</w:t>
      </w:r>
    </w:p>
    <w:p w14:paraId="7A2CA7D9" w14:textId="782D560E" w:rsidR="00C63D8D" w:rsidRDefault="00EB5FB8">
      <w:pPr>
        <w:spacing w:after="160"/>
      </w:pPr>
      <w:r>
        <w:t xml:space="preserve">Typical partner enablement resources include (these work best if they’re personalized for the partner </w:t>
      </w:r>
      <w:proofErr w:type="gramStart"/>
      <w:r>
        <w:t xml:space="preserve">persona </w:t>
      </w:r>
      <w:r w:rsidR="005938D4">
        <w:t>,</w:t>
      </w:r>
      <w:proofErr w:type="gramEnd"/>
      <w:r>
        <w:t xml:space="preserve"> engineer, sales, marketer, etc.):</w:t>
      </w:r>
    </w:p>
    <w:p w14:paraId="1E30253F" w14:textId="77777777" w:rsidR="00C63D8D" w:rsidRDefault="00EB5FB8">
      <w:pPr>
        <w:pStyle w:val="ListParagraph"/>
        <w:numPr>
          <w:ilvl w:val="0"/>
          <w:numId w:val="9"/>
        </w:numPr>
        <w:spacing w:after="80"/>
      </w:pPr>
      <w:r>
        <w:t>Partner onboarding kits</w:t>
      </w:r>
    </w:p>
    <w:p w14:paraId="3811ADA4" w14:textId="77777777" w:rsidR="00C63D8D" w:rsidRDefault="00EB5FB8">
      <w:pPr>
        <w:pStyle w:val="ListParagraph"/>
        <w:numPr>
          <w:ilvl w:val="0"/>
          <w:numId w:val="9"/>
        </w:numPr>
        <w:spacing w:after="80"/>
      </w:pPr>
      <w:r>
        <w:t>Sales playbooks</w:t>
      </w:r>
    </w:p>
    <w:p w14:paraId="193F388F" w14:textId="77777777" w:rsidR="00C63D8D" w:rsidRDefault="00EB5FB8">
      <w:pPr>
        <w:pStyle w:val="ListParagraph"/>
        <w:numPr>
          <w:ilvl w:val="0"/>
          <w:numId w:val="9"/>
        </w:numPr>
        <w:spacing w:after="80"/>
      </w:pPr>
      <w:r>
        <w:t>Implementation guides</w:t>
      </w:r>
    </w:p>
    <w:p w14:paraId="29698078" w14:textId="77777777" w:rsidR="00C63D8D" w:rsidRDefault="00EB5FB8">
      <w:pPr>
        <w:pStyle w:val="ListParagraph"/>
        <w:numPr>
          <w:ilvl w:val="0"/>
          <w:numId w:val="9"/>
        </w:numPr>
        <w:spacing w:after="80"/>
      </w:pPr>
      <w:r>
        <w:t>Competitive positioning</w:t>
      </w:r>
    </w:p>
    <w:p w14:paraId="4F72501D" w14:textId="77777777" w:rsidR="00C63D8D" w:rsidRDefault="00EB5FB8">
      <w:pPr>
        <w:pStyle w:val="ListParagraph"/>
        <w:numPr>
          <w:ilvl w:val="0"/>
          <w:numId w:val="9"/>
        </w:numPr>
        <w:spacing w:after="80"/>
      </w:pPr>
      <w:r>
        <w:t>Marketing campaign kits</w:t>
      </w:r>
    </w:p>
    <w:p w14:paraId="6F783E2D" w14:textId="77777777" w:rsidR="00C63D8D" w:rsidRDefault="00EB5FB8">
      <w:pPr>
        <w:pStyle w:val="ListParagraph"/>
        <w:numPr>
          <w:ilvl w:val="0"/>
          <w:numId w:val="9"/>
        </w:numPr>
        <w:spacing w:after="80"/>
      </w:pPr>
      <w:r>
        <w:t>Product and technical training</w:t>
      </w:r>
    </w:p>
    <w:p w14:paraId="72F635C9" w14:textId="77777777" w:rsidR="00C63D8D" w:rsidRDefault="00EB5FB8">
      <w:pPr>
        <w:pStyle w:val="ListParagraph"/>
        <w:numPr>
          <w:ilvl w:val="0"/>
          <w:numId w:val="9"/>
        </w:numPr>
        <w:spacing w:after="80"/>
      </w:pPr>
      <w:r>
        <w:t>Certification programs</w:t>
      </w:r>
    </w:p>
    <w:p w14:paraId="6A7A6085" w14:textId="77777777" w:rsidR="00C63D8D" w:rsidRDefault="00EB5FB8">
      <w:pPr>
        <w:pStyle w:val="ListParagraph"/>
        <w:numPr>
          <w:ilvl w:val="0"/>
          <w:numId w:val="9"/>
        </w:numPr>
        <w:spacing w:after="80"/>
      </w:pPr>
      <w:r>
        <w:t>Partner sales tools</w:t>
      </w:r>
    </w:p>
    <w:p w14:paraId="73D5BBEF" w14:textId="2858668D" w:rsidR="00C63D8D" w:rsidRDefault="00EB5FB8">
      <w:pPr>
        <w:pStyle w:val="ListParagraph"/>
        <w:numPr>
          <w:ilvl w:val="0"/>
          <w:numId w:val="9"/>
        </w:numPr>
        <w:spacing w:after="80"/>
      </w:pPr>
      <w:r>
        <w:t>Co-</w:t>
      </w:r>
      <w:proofErr w:type="gramStart"/>
      <w:r>
        <w:t>sell</w:t>
      </w:r>
      <w:proofErr w:type="gramEnd"/>
      <w:r>
        <w:t xml:space="preserve"> engagement </w:t>
      </w:r>
      <w:proofErr w:type="gramStart"/>
      <w:r>
        <w:t xml:space="preserve">guides </w:t>
      </w:r>
      <w:r w:rsidR="005938D4">
        <w:t>,</w:t>
      </w:r>
      <w:proofErr w:type="gramEnd"/>
      <w:r>
        <w:t xml:space="preserve"> practical guidance on how partners initiate, structure, and execute co-</w:t>
      </w:r>
      <w:proofErr w:type="gramStart"/>
      <w:r>
        <w:t>sell</w:t>
      </w:r>
      <w:proofErr w:type="gramEnd"/>
      <w:r>
        <w:t xml:space="preserve"> motions with the vendor’s sales team, including engagement triggers, escalation paths, and role definitions</w:t>
      </w:r>
    </w:p>
    <w:p w14:paraId="6997B60F" w14:textId="07A27310" w:rsidR="00C63D8D" w:rsidRDefault="00EB5FB8">
      <w:pPr>
        <w:pStyle w:val="ListParagraph"/>
        <w:numPr>
          <w:ilvl w:val="0"/>
          <w:numId w:val="9"/>
        </w:numPr>
        <w:spacing w:after="80"/>
      </w:pPr>
      <w:r>
        <w:t xml:space="preserve">Partner portal and self-service </w:t>
      </w:r>
      <w:proofErr w:type="gramStart"/>
      <w:r>
        <w:t xml:space="preserve">resources </w:t>
      </w:r>
      <w:r w:rsidR="005938D4">
        <w:t>,</w:t>
      </w:r>
      <w:proofErr w:type="gramEnd"/>
      <w:r>
        <w:t xml:space="preserve"> centralized destination where partners access all enablement materials, deal registration, pricing tools, and support</w:t>
      </w:r>
    </w:p>
    <w:p w14:paraId="7C304F90" w14:textId="77777777" w:rsidR="00C63D8D" w:rsidRDefault="00EB5FB8">
      <w:pPr>
        <w:pStyle w:val="Heading2"/>
      </w:pPr>
      <w:r>
        <w:t>Enablement Resource Framework</w:t>
      </w:r>
    </w:p>
    <w:p w14:paraId="646939A7" w14:textId="77777777" w:rsidR="00C63D8D" w:rsidRDefault="00EB5FB8">
      <w:pPr>
        <w:spacing w:after="160"/>
      </w:pPr>
      <w:r>
        <w:t xml:space="preserve">Enablement resources should be organized </w:t>
      </w:r>
      <w:proofErr w:type="gramStart"/>
      <w:r>
        <w:t>along</w:t>
      </w:r>
      <w:proofErr w:type="gramEnd"/>
      <w:r>
        <w:t xml:space="preserve"> three </w:t>
      </w:r>
      <w:proofErr w:type="gramStart"/>
      <w:r>
        <w:t>dimensions</w:t>
      </w:r>
      <w:proofErr w:type="gramEnd"/>
      <w:r>
        <w:t>:</w:t>
      </w:r>
    </w:p>
    <w:p w14:paraId="33D59CB4" w14:textId="77777777" w:rsidR="00C63D8D" w:rsidRDefault="00EB5FB8">
      <w:pPr>
        <w:spacing w:before="200" w:after="120"/>
      </w:pPr>
      <w:r>
        <w:rPr>
          <w:rFonts w:ascii="Georgia" w:eastAsia="Georgia" w:hAnsi="Georgia" w:cs="Georgia"/>
          <w:b/>
          <w:bCs/>
          <w:color w:val="46624C"/>
        </w:rPr>
        <w:t>Partner Type</w:t>
      </w:r>
    </w:p>
    <w:p w14:paraId="24E9617C" w14:textId="77777777" w:rsidR="00C63D8D" w:rsidRDefault="00EB5FB8">
      <w:pPr>
        <w:pStyle w:val="ListParagraph"/>
        <w:numPr>
          <w:ilvl w:val="0"/>
          <w:numId w:val="10"/>
        </w:numPr>
        <w:spacing w:after="80"/>
      </w:pPr>
      <w:r>
        <w:t>Reseller</w:t>
      </w:r>
    </w:p>
    <w:p w14:paraId="284D9F73" w14:textId="77777777" w:rsidR="00C63D8D" w:rsidRDefault="00EB5FB8">
      <w:pPr>
        <w:pStyle w:val="ListParagraph"/>
        <w:numPr>
          <w:ilvl w:val="0"/>
          <w:numId w:val="10"/>
        </w:numPr>
        <w:spacing w:after="80"/>
      </w:pPr>
      <w:r>
        <w:t>Systems integrator</w:t>
      </w:r>
    </w:p>
    <w:p w14:paraId="44EACA9B" w14:textId="77777777" w:rsidR="00C63D8D" w:rsidRDefault="00EB5FB8">
      <w:pPr>
        <w:pStyle w:val="ListParagraph"/>
        <w:numPr>
          <w:ilvl w:val="0"/>
          <w:numId w:val="10"/>
        </w:numPr>
        <w:spacing w:after="80"/>
      </w:pPr>
      <w:r>
        <w:lastRenderedPageBreak/>
        <w:t>Consulting partner</w:t>
      </w:r>
    </w:p>
    <w:p w14:paraId="7E6B6F40" w14:textId="77777777" w:rsidR="00C63D8D" w:rsidRDefault="00EB5FB8">
      <w:pPr>
        <w:pStyle w:val="ListParagraph"/>
        <w:numPr>
          <w:ilvl w:val="0"/>
          <w:numId w:val="10"/>
        </w:numPr>
        <w:spacing w:after="80"/>
      </w:pPr>
      <w:r>
        <w:t>Technology partner</w:t>
      </w:r>
    </w:p>
    <w:p w14:paraId="7A97ED5F" w14:textId="77777777" w:rsidR="00C63D8D" w:rsidRDefault="00EB5FB8">
      <w:pPr>
        <w:pStyle w:val="ListParagraph"/>
        <w:numPr>
          <w:ilvl w:val="0"/>
          <w:numId w:val="10"/>
        </w:numPr>
        <w:spacing w:after="80"/>
      </w:pPr>
      <w:r>
        <w:t>Referral partner</w:t>
      </w:r>
    </w:p>
    <w:p w14:paraId="317A50EB" w14:textId="77777777" w:rsidR="00C63D8D" w:rsidRDefault="00EB5FB8">
      <w:pPr>
        <w:spacing w:before="200" w:after="120"/>
      </w:pPr>
      <w:r>
        <w:rPr>
          <w:rFonts w:ascii="Georgia" w:eastAsia="Georgia" w:hAnsi="Georgia" w:cs="Georgia"/>
          <w:b/>
          <w:bCs/>
          <w:color w:val="46624C"/>
        </w:rPr>
        <w:t>Partner Motion</w:t>
      </w:r>
    </w:p>
    <w:p w14:paraId="3C7F2781" w14:textId="77777777" w:rsidR="00C63D8D" w:rsidRDefault="00EB5FB8">
      <w:pPr>
        <w:pStyle w:val="ListParagraph"/>
        <w:numPr>
          <w:ilvl w:val="0"/>
          <w:numId w:val="11"/>
        </w:numPr>
        <w:spacing w:after="80"/>
      </w:pPr>
      <w:r>
        <w:t>Sell</w:t>
      </w:r>
    </w:p>
    <w:p w14:paraId="751B5B6C" w14:textId="77777777" w:rsidR="00C63D8D" w:rsidRDefault="00EB5FB8">
      <w:pPr>
        <w:pStyle w:val="ListParagraph"/>
        <w:numPr>
          <w:ilvl w:val="0"/>
          <w:numId w:val="11"/>
        </w:numPr>
        <w:spacing w:after="80"/>
      </w:pPr>
      <w:r>
        <w:t>Implement</w:t>
      </w:r>
    </w:p>
    <w:p w14:paraId="358F3D17" w14:textId="77777777" w:rsidR="00C63D8D" w:rsidRDefault="00EB5FB8">
      <w:pPr>
        <w:pStyle w:val="ListParagraph"/>
        <w:numPr>
          <w:ilvl w:val="0"/>
          <w:numId w:val="11"/>
        </w:numPr>
        <w:spacing w:after="80"/>
      </w:pPr>
      <w:r>
        <w:t>Refer</w:t>
      </w:r>
    </w:p>
    <w:p w14:paraId="532762C3" w14:textId="77777777" w:rsidR="00C63D8D" w:rsidRDefault="00EB5FB8">
      <w:pPr>
        <w:pStyle w:val="ListParagraph"/>
        <w:numPr>
          <w:ilvl w:val="0"/>
          <w:numId w:val="11"/>
        </w:numPr>
        <w:spacing w:after="80"/>
      </w:pPr>
      <w:r>
        <w:t>Integrate</w:t>
      </w:r>
    </w:p>
    <w:p w14:paraId="2904B0A7" w14:textId="77777777" w:rsidR="00C63D8D" w:rsidRDefault="00EB5FB8">
      <w:pPr>
        <w:spacing w:before="200" w:after="120"/>
      </w:pPr>
      <w:r>
        <w:rPr>
          <w:rFonts w:ascii="Georgia" w:eastAsia="Georgia" w:hAnsi="Georgia" w:cs="Georgia"/>
          <w:b/>
          <w:bCs/>
          <w:color w:val="46624C"/>
        </w:rPr>
        <w:t>Skill Level</w:t>
      </w:r>
    </w:p>
    <w:p w14:paraId="33F9BA08" w14:textId="77777777" w:rsidR="00C63D8D" w:rsidRDefault="00EB5FB8">
      <w:pPr>
        <w:pStyle w:val="ListParagraph"/>
        <w:numPr>
          <w:ilvl w:val="0"/>
          <w:numId w:val="12"/>
        </w:numPr>
        <w:spacing w:after="80"/>
      </w:pPr>
      <w:r>
        <w:t>Foundational onboarding</w:t>
      </w:r>
    </w:p>
    <w:p w14:paraId="0E6283B3" w14:textId="77777777" w:rsidR="00C63D8D" w:rsidRDefault="00EB5FB8">
      <w:pPr>
        <w:pStyle w:val="ListParagraph"/>
        <w:numPr>
          <w:ilvl w:val="0"/>
          <w:numId w:val="12"/>
        </w:numPr>
        <w:spacing w:after="80"/>
      </w:pPr>
      <w:r>
        <w:t>Operational training</w:t>
      </w:r>
    </w:p>
    <w:p w14:paraId="746325BE" w14:textId="77777777" w:rsidR="00C63D8D" w:rsidRDefault="00EB5FB8">
      <w:pPr>
        <w:pStyle w:val="ListParagraph"/>
        <w:numPr>
          <w:ilvl w:val="0"/>
          <w:numId w:val="12"/>
        </w:numPr>
        <w:spacing w:after="80"/>
      </w:pPr>
      <w:r>
        <w:t>Advanced expertise</w:t>
      </w:r>
    </w:p>
    <w:p w14:paraId="1AABE150" w14:textId="77777777" w:rsidR="00C63D8D" w:rsidRDefault="00EB5FB8">
      <w:pPr>
        <w:spacing w:after="160"/>
      </w:pPr>
      <w:r>
        <w:t>This structure allows partners to quickly locate the materials relevant to their specific role.</w:t>
      </w:r>
    </w:p>
    <w:p w14:paraId="4EEF7422" w14:textId="77777777" w:rsidR="00C63D8D" w:rsidRDefault="00C63D8D">
      <w:pPr>
        <w:pBdr>
          <w:bottom w:val="single" w:sz="4" w:space="8" w:color="A1ACA6"/>
        </w:pBdr>
        <w:spacing w:before="200" w:after="200"/>
      </w:pPr>
    </w:p>
    <w:p w14:paraId="53470D6C" w14:textId="77777777" w:rsidR="00C63D8D" w:rsidRDefault="00EB5FB8">
      <w:pPr>
        <w:pStyle w:val="Heading1"/>
      </w:pPr>
      <w:r>
        <w:t>5. Partner Performance Management</w:t>
      </w:r>
    </w:p>
    <w:p w14:paraId="67DAD69A" w14:textId="77777777" w:rsidR="00C63D8D" w:rsidRDefault="00EB5FB8">
      <w:pPr>
        <w:spacing w:after="160"/>
      </w:pPr>
      <w:r>
        <w:t>The final layer of the channel/partner operations infrastructure focuses on measuring partner engagement, performance, and strategic alignment.</w:t>
      </w:r>
    </w:p>
    <w:p w14:paraId="5167C123" w14:textId="77777777" w:rsidR="00C63D8D" w:rsidRDefault="00EB5FB8">
      <w:pPr>
        <w:spacing w:after="160"/>
      </w:pPr>
      <w:r>
        <w:t>This section contains three key components:</w:t>
      </w:r>
    </w:p>
    <w:p w14:paraId="14694AD6" w14:textId="77777777" w:rsidR="00C63D8D" w:rsidRDefault="00EB5FB8">
      <w:pPr>
        <w:pStyle w:val="ListParagraph"/>
        <w:numPr>
          <w:ilvl w:val="0"/>
          <w:numId w:val="13"/>
        </w:numPr>
        <w:spacing w:after="80"/>
      </w:pPr>
      <w:r>
        <w:t>Internal partner motion and performance scorecards</w:t>
      </w:r>
    </w:p>
    <w:p w14:paraId="2668B588" w14:textId="77777777" w:rsidR="00C63D8D" w:rsidRDefault="00EB5FB8">
      <w:pPr>
        <w:pStyle w:val="ListParagraph"/>
        <w:numPr>
          <w:ilvl w:val="0"/>
          <w:numId w:val="13"/>
        </w:numPr>
        <w:spacing w:after="80"/>
      </w:pPr>
      <w:r>
        <w:t>External partner scorecards</w:t>
      </w:r>
    </w:p>
    <w:p w14:paraId="1A08E851" w14:textId="77777777" w:rsidR="00C63D8D" w:rsidRDefault="00EB5FB8">
      <w:pPr>
        <w:pStyle w:val="ListParagraph"/>
        <w:numPr>
          <w:ilvl w:val="0"/>
          <w:numId w:val="13"/>
        </w:numPr>
        <w:spacing w:after="80"/>
      </w:pPr>
      <w:r>
        <w:t>Quarterly business review (QBR) metrics and governance</w:t>
      </w:r>
    </w:p>
    <w:p w14:paraId="62C530F5" w14:textId="77777777" w:rsidR="00C63D8D" w:rsidRDefault="00EB5FB8">
      <w:pPr>
        <w:pStyle w:val="Heading2"/>
      </w:pPr>
      <w:r>
        <w:t>5.1 Partner Motion &amp; Performance Scorecard (Internal)</w:t>
      </w:r>
    </w:p>
    <w:p w14:paraId="41F4166C" w14:textId="77777777" w:rsidR="00C63D8D" w:rsidRDefault="00EB5FB8">
      <w:pPr>
        <w:spacing w:after="160"/>
      </w:pPr>
      <w:r>
        <w:t>This scorecard is designed for internal use by channel/partner operations and channel account managers to monitor partner engagement and selling activity.</w:t>
      </w:r>
    </w:p>
    <w:p w14:paraId="4C0D0AE5" w14:textId="77777777" w:rsidR="00C63D8D" w:rsidRDefault="00EB5FB8">
      <w:pPr>
        <w:spacing w:after="160"/>
      </w:pPr>
      <w:r>
        <w:t>Unlike traditional partner scorecards that rely primarily on lagging indicators such as revenue or deal registrations, this framework includes leading indicators of partner activity and engagement to identify performance issues earlier.</w:t>
      </w:r>
    </w:p>
    <w:p w14:paraId="2B67CEFB" w14:textId="77777777" w:rsidR="00C63D8D" w:rsidRDefault="00EB5FB8">
      <w:pPr>
        <w:spacing w:after="160"/>
      </w:pPr>
      <w:r>
        <w:t>The scorecard evaluates partner performance across four dimensions:</w:t>
      </w:r>
    </w:p>
    <w:p w14:paraId="487C3A37" w14:textId="77777777" w:rsidR="00C63D8D" w:rsidRDefault="00EB5FB8">
      <w:pPr>
        <w:spacing w:before="200" w:after="120"/>
      </w:pPr>
      <w:r>
        <w:rPr>
          <w:rFonts w:ascii="Georgia" w:eastAsia="Georgia" w:hAnsi="Georgia" w:cs="Georgia"/>
          <w:b/>
          <w:bCs/>
          <w:color w:val="46624C"/>
        </w:rPr>
        <w:t>Engagement &amp; Activity</w:t>
      </w:r>
    </w:p>
    <w:p w14:paraId="60D23150" w14:textId="77777777" w:rsidR="00C63D8D" w:rsidRDefault="00EB5FB8">
      <w:pPr>
        <w:spacing w:after="160"/>
      </w:pPr>
      <w:r>
        <w:t xml:space="preserve">Measures whether partner sellers are actively </w:t>
      </w:r>
      <w:proofErr w:type="gramStart"/>
      <w:r>
        <w:t>engaging</w:t>
      </w:r>
      <w:proofErr w:type="gramEnd"/>
      <w:r>
        <w:t xml:space="preserve"> the market. Key metrics include:</w:t>
      </w:r>
    </w:p>
    <w:p w14:paraId="7ABAA206" w14:textId="77777777" w:rsidR="00C63D8D" w:rsidRDefault="00EB5FB8">
      <w:pPr>
        <w:pStyle w:val="ListParagraph"/>
        <w:numPr>
          <w:ilvl w:val="0"/>
          <w:numId w:val="3"/>
        </w:numPr>
        <w:spacing w:after="80"/>
      </w:pPr>
      <w:r>
        <w:t>Active Seller Rate</w:t>
      </w:r>
    </w:p>
    <w:p w14:paraId="64E6C9D2" w14:textId="77777777" w:rsidR="00C63D8D" w:rsidRDefault="00EB5FB8">
      <w:pPr>
        <w:pStyle w:val="ListParagraph"/>
        <w:numPr>
          <w:ilvl w:val="0"/>
          <w:numId w:val="3"/>
        </w:numPr>
        <w:spacing w:after="80"/>
      </w:pPr>
      <w:r>
        <w:t>Accounts Covered</w:t>
      </w:r>
    </w:p>
    <w:p w14:paraId="04D9710F" w14:textId="77777777" w:rsidR="00C63D8D" w:rsidRDefault="00EB5FB8">
      <w:pPr>
        <w:pStyle w:val="ListParagraph"/>
        <w:numPr>
          <w:ilvl w:val="0"/>
          <w:numId w:val="3"/>
        </w:numPr>
        <w:spacing w:after="80"/>
      </w:pPr>
      <w:r>
        <w:t>Outreach Attempts</w:t>
      </w:r>
    </w:p>
    <w:p w14:paraId="24D2F1EA" w14:textId="77777777" w:rsidR="00C63D8D" w:rsidRDefault="00EB5FB8">
      <w:pPr>
        <w:pStyle w:val="ListParagraph"/>
        <w:numPr>
          <w:ilvl w:val="0"/>
          <w:numId w:val="3"/>
        </w:numPr>
        <w:spacing w:after="80"/>
      </w:pPr>
      <w:r>
        <w:lastRenderedPageBreak/>
        <w:t>Meetings Generated</w:t>
      </w:r>
    </w:p>
    <w:p w14:paraId="4B9770F4" w14:textId="77777777" w:rsidR="00C63D8D" w:rsidRDefault="00EB5FB8">
      <w:pPr>
        <w:pStyle w:val="ListParagraph"/>
        <w:numPr>
          <w:ilvl w:val="0"/>
          <w:numId w:val="3"/>
        </w:numPr>
        <w:spacing w:after="80"/>
      </w:pPr>
      <w:r>
        <w:t>Engagement Rate</w:t>
      </w:r>
    </w:p>
    <w:p w14:paraId="0BD51D68" w14:textId="77777777" w:rsidR="00C63D8D" w:rsidRDefault="00EB5FB8">
      <w:pPr>
        <w:pStyle w:val="ListParagraph"/>
        <w:numPr>
          <w:ilvl w:val="0"/>
          <w:numId w:val="3"/>
        </w:numPr>
        <w:spacing w:after="80"/>
      </w:pPr>
      <w:r>
        <w:t>Partner event attendance (vendor webinars)</w:t>
      </w:r>
    </w:p>
    <w:p w14:paraId="09D5CD51" w14:textId="6994B358" w:rsidR="00C63D8D" w:rsidRDefault="00EB5FB8">
      <w:pPr>
        <w:pStyle w:val="ListParagraph"/>
        <w:numPr>
          <w:ilvl w:val="0"/>
          <w:numId w:val="3"/>
        </w:numPr>
        <w:spacing w:after="80"/>
      </w:pPr>
      <w:r>
        <w:t xml:space="preserve">Partner advisory board and roundtable </w:t>
      </w:r>
      <w:proofErr w:type="gramStart"/>
      <w:r>
        <w:t xml:space="preserve">participation </w:t>
      </w:r>
      <w:r w:rsidR="005938D4">
        <w:t>,</w:t>
      </w:r>
      <w:proofErr w:type="gramEnd"/>
      <w:r>
        <w:t xml:space="preserve"> involvement in advisory councils, peer roundtables, or mentorship programs that signal deeper strategic investment in the partnership beyond transactional selling</w:t>
      </w:r>
    </w:p>
    <w:p w14:paraId="6A32482F" w14:textId="77777777" w:rsidR="00C63D8D" w:rsidRDefault="00EB5FB8">
      <w:pPr>
        <w:spacing w:after="160"/>
      </w:pPr>
      <w:r>
        <w:rPr>
          <w:i/>
          <w:iCs/>
          <w:color w:val="555555"/>
        </w:rPr>
        <w:t>These metrics provide early visibility into partner engagement and prospecting activity.</w:t>
      </w:r>
    </w:p>
    <w:p w14:paraId="26080FEA" w14:textId="77777777" w:rsidR="00C63D8D" w:rsidRDefault="00EB5FB8">
      <w:pPr>
        <w:spacing w:before="200" w:after="120"/>
      </w:pPr>
      <w:r>
        <w:rPr>
          <w:rFonts w:ascii="Georgia" w:eastAsia="Georgia" w:hAnsi="Georgia" w:cs="Georgia"/>
          <w:b/>
          <w:bCs/>
          <w:color w:val="46624C"/>
        </w:rPr>
        <w:t>Selling Motion</w:t>
      </w:r>
    </w:p>
    <w:p w14:paraId="1E573982" w14:textId="77777777" w:rsidR="00C63D8D" w:rsidRDefault="00EB5FB8">
      <w:pPr>
        <w:spacing w:after="160"/>
      </w:pPr>
      <w:r>
        <w:t>Measures how effectively partner activity converts into pipeline and revenue. Key metrics include:</w:t>
      </w:r>
    </w:p>
    <w:p w14:paraId="1345FE3B" w14:textId="77777777" w:rsidR="00C63D8D" w:rsidRDefault="00EB5FB8">
      <w:pPr>
        <w:pStyle w:val="ListParagraph"/>
        <w:numPr>
          <w:ilvl w:val="0"/>
          <w:numId w:val="3"/>
        </w:numPr>
        <w:spacing w:after="80"/>
      </w:pPr>
      <w:r>
        <w:t>Pipeline created</w:t>
      </w:r>
    </w:p>
    <w:p w14:paraId="7F36D447" w14:textId="77777777" w:rsidR="00C63D8D" w:rsidRDefault="00EB5FB8">
      <w:pPr>
        <w:pStyle w:val="ListParagraph"/>
        <w:numPr>
          <w:ilvl w:val="0"/>
          <w:numId w:val="3"/>
        </w:numPr>
        <w:spacing w:after="80"/>
      </w:pPr>
      <w:r>
        <w:t>Meeting-to-opportunity conversion rate</w:t>
      </w:r>
    </w:p>
    <w:p w14:paraId="757AA67E" w14:textId="77777777" w:rsidR="00C63D8D" w:rsidRDefault="00EB5FB8">
      <w:pPr>
        <w:pStyle w:val="ListParagraph"/>
        <w:numPr>
          <w:ilvl w:val="0"/>
          <w:numId w:val="3"/>
        </w:numPr>
        <w:spacing w:after="80"/>
      </w:pPr>
      <w:r>
        <w:t>Opportunity-to-close rate</w:t>
      </w:r>
    </w:p>
    <w:p w14:paraId="7D5235F7" w14:textId="77777777" w:rsidR="00C63D8D" w:rsidRDefault="00EB5FB8">
      <w:pPr>
        <w:pStyle w:val="ListParagraph"/>
        <w:numPr>
          <w:ilvl w:val="0"/>
          <w:numId w:val="3"/>
        </w:numPr>
        <w:spacing w:after="80"/>
      </w:pPr>
      <w:r>
        <w:t>Average deal size</w:t>
      </w:r>
    </w:p>
    <w:p w14:paraId="55ED5138" w14:textId="77777777" w:rsidR="00C63D8D" w:rsidRDefault="00EB5FB8">
      <w:pPr>
        <w:pStyle w:val="ListParagraph"/>
        <w:numPr>
          <w:ilvl w:val="0"/>
          <w:numId w:val="3"/>
        </w:numPr>
        <w:spacing w:after="80"/>
      </w:pPr>
      <w:r>
        <w:t>Revenue potential vs. actual</w:t>
      </w:r>
    </w:p>
    <w:p w14:paraId="0C51C15D" w14:textId="77777777" w:rsidR="00C63D8D" w:rsidRDefault="00EB5FB8">
      <w:pPr>
        <w:pStyle w:val="ListParagraph"/>
        <w:numPr>
          <w:ilvl w:val="0"/>
          <w:numId w:val="3"/>
        </w:numPr>
        <w:spacing w:after="80"/>
      </w:pPr>
      <w:r>
        <w:t>Sales cycle length</w:t>
      </w:r>
    </w:p>
    <w:p w14:paraId="3773D577" w14:textId="77777777" w:rsidR="00C63D8D" w:rsidRDefault="00EB5FB8">
      <w:pPr>
        <w:spacing w:after="160"/>
      </w:pPr>
      <w:r>
        <w:rPr>
          <w:i/>
          <w:iCs/>
          <w:color w:val="555555"/>
        </w:rPr>
        <w:t>These metrics help identify inefficiencies in the partner’s selling motion.</w:t>
      </w:r>
    </w:p>
    <w:p w14:paraId="71D11769" w14:textId="77777777" w:rsidR="00C63D8D" w:rsidRDefault="00EB5FB8">
      <w:pPr>
        <w:spacing w:before="200" w:after="120"/>
      </w:pPr>
      <w:r>
        <w:rPr>
          <w:rFonts w:ascii="Georgia" w:eastAsia="Georgia" w:hAnsi="Georgia" w:cs="Georgia"/>
          <w:b/>
          <w:bCs/>
          <w:color w:val="46624C"/>
        </w:rPr>
        <w:t>Partner Health</w:t>
      </w:r>
    </w:p>
    <w:p w14:paraId="7D7C0789" w14:textId="77777777" w:rsidR="00C63D8D" w:rsidRDefault="00EB5FB8">
      <w:pPr>
        <w:spacing w:after="160"/>
      </w:pPr>
      <w:r>
        <w:t>Measures the operational readiness of the partner organization. Key metrics include:</w:t>
      </w:r>
    </w:p>
    <w:p w14:paraId="1A39FE4B" w14:textId="77777777" w:rsidR="00C63D8D" w:rsidRDefault="00EB5FB8">
      <w:pPr>
        <w:pStyle w:val="ListParagraph"/>
        <w:numPr>
          <w:ilvl w:val="0"/>
          <w:numId w:val="3"/>
        </w:numPr>
        <w:spacing w:after="80"/>
      </w:pPr>
      <w:r>
        <w:t>Enablement completion rate</w:t>
      </w:r>
    </w:p>
    <w:p w14:paraId="3DDD4FE6" w14:textId="77777777" w:rsidR="00C63D8D" w:rsidRDefault="00EB5FB8">
      <w:pPr>
        <w:pStyle w:val="ListParagraph"/>
        <w:numPr>
          <w:ilvl w:val="0"/>
          <w:numId w:val="3"/>
        </w:numPr>
        <w:spacing w:after="80"/>
      </w:pPr>
      <w:r>
        <w:t>Certification status</w:t>
      </w:r>
    </w:p>
    <w:p w14:paraId="6E4EFD6C" w14:textId="77777777" w:rsidR="00C63D8D" w:rsidRDefault="00EB5FB8">
      <w:pPr>
        <w:pStyle w:val="ListParagraph"/>
        <w:numPr>
          <w:ilvl w:val="0"/>
          <w:numId w:val="3"/>
        </w:numPr>
        <w:spacing w:after="80"/>
      </w:pPr>
      <w:r>
        <w:t>Co-sell responsiveness</w:t>
      </w:r>
    </w:p>
    <w:p w14:paraId="675D1463" w14:textId="77777777" w:rsidR="00C63D8D" w:rsidRDefault="00EB5FB8">
      <w:pPr>
        <w:pStyle w:val="ListParagraph"/>
        <w:numPr>
          <w:ilvl w:val="0"/>
          <w:numId w:val="3"/>
        </w:numPr>
        <w:spacing w:after="80"/>
      </w:pPr>
      <w:r>
        <w:t>Joint business plan completion</w:t>
      </w:r>
    </w:p>
    <w:p w14:paraId="78E4196A" w14:textId="77777777" w:rsidR="00C63D8D" w:rsidRDefault="00EB5FB8">
      <w:pPr>
        <w:pStyle w:val="ListParagraph"/>
        <w:numPr>
          <w:ilvl w:val="0"/>
          <w:numId w:val="3"/>
        </w:numPr>
        <w:spacing w:after="80"/>
      </w:pPr>
      <w:r>
        <w:t>Executive engagement</w:t>
      </w:r>
    </w:p>
    <w:p w14:paraId="61AFF696" w14:textId="77777777" w:rsidR="00C63D8D" w:rsidRDefault="00EB5FB8">
      <w:pPr>
        <w:spacing w:after="160"/>
      </w:pPr>
      <w:r>
        <w:rPr>
          <w:i/>
          <w:iCs/>
          <w:color w:val="555555"/>
        </w:rPr>
        <w:t>These indicators often reveal the root causes behind changes in pipeline or revenue performance.</w:t>
      </w:r>
    </w:p>
    <w:p w14:paraId="3693B4BB" w14:textId="77777777" w:rsidR="00C63D8D" w:rsidRDefault="00EB5FB8">
      <w:pPr>
        <w:spacing w:before="200" w:after="120"/>
      </w:pPr>
      <w:r>
        <w:rPr>
          <w:rFonts w:ascii="Georgia" w:eastAsia="Georgia" w:hAnsi="Georgia" w:cs="Georgia"/>
          <w:b/>
          <w:bCs/>
          <w:color w:val="46624C"/>
        </w:rPr>
        <w:t>GTM Alignment</w:t>
      </w:r>
    </w:p>
    <w:p w14:paraId="5B893469" w14:textId="77777777" w:rsidR="00C63D8D" w:rsidRDefault="00EB5FB8">
      <w:pPr>
        <w:spacing w:after="160"/>
      </w:pPr>
      <w:r>
        <w:t xml:space="preserve">Measures how </w:t>
      </w:r>
      <w:proofErr w:type="gramStart"/>
      <w:r>
        <w:t>closely</w:t>
      </w:r>
      <w:proofErr w:type="gramEnd"/>
      <w:r>
        <w:t xml:space="preserve"> partner activity aligns with the vendor’s strategic priorities. Key metrics include:</w:t>
      </w:r>
    </w:p>
    <w:p w14:paraId="39AC8F1D" w14:textId="77777777" w:rsidR="00C63D8D" w:rsidRDefault="00EB5FB8">
      <w:pPr>
        <w:pStyle w:val="ListParagraph"/>
        <w:numPr>
          <w:ilvl w:val="0"/>
          <w:numId w:val="3"/>
        </w:numPr>
        <w:spacing w:after="80"/>
      </w:pPr>
      <w:r>
        <w:t>Territory coverage</w:t>
      </w:r>
    </w:p>
    <w:p w14:paraId="2BFB25C0" w14:textId="77777777" w:rsidR="00C63D8D" w:rsidRDefault="00EB5FB8">
      <w:pPr>
        <w:pStyle w:val="ListParagraph"/>
        <w:numPr>
          <w:ilvl w:val="0"/>
          <w:numId w:val="3"/>
        </w:numPr>
        <w:spacing w:after="80"/>
      </w:pPr>
      <w:r>
        <w:t>ICP alignment</w:t>
      </w:r>
    </w:p>
    <w:p w14:paraId="5CE404E6" w14:textId="77777777" w:rsidR="00C63D8D" w:rsidRDefault="00EB5FB8">
      <w:pPr>
        <w:pStyle w:val="ListParagraph"/>
        <w:numPr>
          <w:ilvl w:val="0"/>
          <w:numId w:val="3"/>
        </w:numPr>
        <w:spacing w:after="80"/>
      </w:pPr>
      <w:r>
        <w:t>Co-sell participation rate</w:t>
      </w:r>
    </w:p>
    <w:p w14:paraId="329CD6B4" w14:textId="77777777" w:rsidR="00C63D8D" w:rsidRDefault="00EB5FB8">
      <w:pPr>
        <w:pStyle w:val="ListParagraph"/>
        <w:numPr>
          <w:ilvl w:val="0"/>
          <w:numId w:val="3"/>
        </w:numPr>
        <w:spacing w:after="80"/>
      </w:pPr>
      <w:r>
        <w:t>Forecast accuracy</w:t>
      </w:r>
    </w:p>
    <w:p w14:paraId="45E5877D" w14:textId="77777777" w:rsidR="00C63D8D" w:rsidRDefault="00EB5FB8">
      <w:pPr>
        <w:pStyle w:val="ListParagraph"/>
        <w:numPr>
          <w:ilvl w:val="0"/>
          <w:numId w:val="3"/>
        </w:numPr>
        <w:spacing w:after="80"/>
      </w:pPr>
      <w:r>
        <w:t>New logo rate</w:t>
      </w:r>
    </w:p>
    <w:p w14:paraId="118BA6EC" w14:textId="77777777" w:rsidR="00C63D8D" w:rsidRDefault="00EB5FB8">
      <w:pPr>
        <w:pStyle w:val="ListParagraph"/>
        <w:numPr>
          <w:ilvl w:val="0"/>
          <w:numId w:val="3"/>
        </w:numPr>
        <w:spacing w:after="80"/>
      </w:pPr>
      <w:r>
        <w:t>Solution mix</w:t>
      </w:r>
    </w:p>
    <w:p w14:paraId="358F5D6A" w14:textId="77777777" w:rsidR="00C63D8D" w:rsidRDefault="00EB5FB8">
      <w:pPr>
        <w:spacing w:after="160"/>
      </w:pPr>
      <w:r>
        <w:rPr>
          <w:i/>
          <w:iCs/>
          <w:color w:val="555555"/>
        </w:rPr>
        <w:t>These metrics ensure that partner activity supports broader market strategy.</w:t>
      </w:r>
    </w:p>
    <w:p w14:paraId="57FF6F64" w14:textId="77777777" w:rsidR="00C63D8D" w:rsidRDefault="00EB5FB8">
      <w:pPr>
        <w:spacing w:before="200" w:after="120"/>
      </w:pPr>
      <w:r>
        <w:rPr>
          <w:rFonts w:ascii="Georgia" w:eastAsia="Georgia" w:hAnsi="Georgia" w:cs="Georgia"/>
          <w:b/>
          <w:bCs/>
          <w:color w:val="46624C"/>
        </w:rPr>
        <w:t>Operational Performance Inputs</w:t>
      </w:r>
    </w:p>
    <w:p w14:paraId="7D613EE5" w14:textId="77777777" w:rsidR="00C63D8D" w:rsidRDefault="00EB5FB8">
      <w:pPr>
        <w:spacing w:after="160"/>
      </w:pPr>
      <w:r>
        <w:lastRenderedPageBreak/>
        <w:t>Beyond engagement and pipeline metrics, the internal scorecard should incorporate operational performance data that reflects the quality of a partner’s execution across the customer lifecycle:</w:t>
      </w:r>
    </w:p>
    <w:p w14:paraId="16B6C2CB" w14:textId="0E068E0B" w:rsidR="00C63D8D" w:rsidRDefault="00EB5FB8">
      <w:pPr>
        <w:pStyle w:val="ListParagraph"/>
        <w:numPr>
          <w:ilvl w:val="0"/>
          <w:numId w:val="3"/>
        </w:numPr>
        <w:spacing w:after="80"/>
      </w:pPr>
      <w:r>
        <w:t xml:space="preserve">Certifications </w:t>
      </w:r>
      <w:proofErr w:type="gramStart"/>
      <w:r>
        <w:t xml:space="preserve">earned </w:t>
      </w:r>
      <w:r w:rsidR="005938D4">
        <w:t>,</w:t>
      </w:r>
      <w:proofErr w:type="gramEnd"/>
      <w:r>
        <w:t xml:space="preserve"> number and recency of technical and sales certifications achieved by partner personnel</w:t>
      </w:r>
    </w:p>
    <w:p w14:paraId="7C5B92ED" w14:textId="5E9D6E93" w:rsidR="00C63D8D" w:rsidRDefault="00EB5FB8">
      <w:pPr>
        <w:pStyle w:val="ListParagraph"/>
        <w:numPr>
          <w:ilvl w:val="0"/>
          <w:numId w:val="3"/>
        </w:numPr>
        <w:spacing w:after="80"/>
      </w:pPr>
      <w:proofErr w:type="gramStart"/>
      <w:r>
        <w:t>Implementation</w:t>
      </w:r>
      <w:proofErr w:type="gramEnd"/>
      <w:r>
        <w:t xml:space="preserve"> quality </w:t>
      </w:r>
      <w:proofErr w:type="gramStart"/>
      <w:r>
        <w:t xml:space="preserve">scores </w:t>
      </w:r>
      <w:r w:rsidR="005938D4">
        <w:t>,</w:t>
      </w:r>
      <w:proofErr w:type="gramEnd"/>
      <w:r>
        <w:t xml:space="preserve"> post-deployment customer satisfaction, defect rates, or project delivery ratings</w:t>
      </w:r>
    </w:p>
    <w:p w14:paraId="60207C3E" w14:textId="3A04B6AE" w:rsidR="00C63D8D" w:rsidRDefault="00EB5FB8">
      <w:pPr>
        <w:pStyle w:val="ListParagraph"/>
        <w:numPr>
          <w:ilvl w:val="0"/>
          <w:numId w:val="3"/>
        </w:numPr>
        <w:spacing w:after="80"/>
      </w:pPr>
      <w:r>
        <w:t xml:space="preserve">Customer onboarding </w:t>
      </w:r>
      <w:proofErr w:type="gramStart"/>
      <w:r>
        <w:t xml:space="preserve">speed </w:t>
      </w:r>
      <w:r w:rsidR="005938D4">
        <w:t>,</w:t>
      </w:r>
      <w:proofErr w:type="gramEnd"/>
      <w:r>
        <w:t xml:space="preserve"> time from closed deal to fully onboarded and active customer</w:t>
      </w:r>
    </w:p>
    <w:p w14:paraId="594B30F6" w14:textId="0EE820A0" w:rsidR="00C63D8D" w:rsidRDefault="00EB5FB8">
      <w:pPr>
        <w:pStyle w:val="ListParagraph"/>
        <w:numPr>
          <w:ilvl w:val="0"/>
          <w:numId w:val="3"/>
        </w:numPr>
        <w:spacing w:after="80"/>
      </w:pPr>
      <w:r>
        <w:t xml:space="preserve">Usage pattern </w:t>
      </w:r>
      <w:proofErr w:type="gramStart"/>
      <w:r>
        <w:t xml:space="preserve">trends </w:t>
      </w:r>
      <w:r w:rsidR="005938D4">
        <w:t>,</w:t>
      </w:r>
      <w:proofErr w:type="gramEnd"/>
      <w:r>
        <w:t xml:space="preserve"> product adoption and utilization rates across the partner’s customer base over time</w:t>
      </w:r>
    </w:p>
    <w:p w14:paraId="34A2306C" w14:textId="5E8CCD07" w:rsidR="00C63D8D" w:rsidRDefault="00EB5FB8">
      <w:pPr>
        <w:pStyle w:val="ListParagraph"/>
        <w:numPr>
          <w:ilvl w:val="0"/>
          <w:numId w:val="3"/>
        </w:numPr>
        <w:spacing w:after="80"/>
      </w:pPr>
      <w:r>
        <w:t xml:space="preserve">Expansion </w:t>
      </w:r>
      <w:proofErr w:type="gramStart"/>
      <w:r>
        <w:t xml:space="preserve">activity </w:t>
      </w:r>
      <w:r w:rsidR="005938D4">
        <w:t>,</w:t>
      </w:r>
      <w:proofErr w:type="gramEnd"/>
      <w:r>
        <w:t xml:space="preserve"> frequency and value of upsell and cross-sell motions within existing accounts</w:t>
      </w:r>
    </w:p>
    <w:p w14:paraId="4D287E05" w14:textId="24656AED" w:rsidR="00C63D8D" w:rsidRDefault="00EB5FB8">
      <w:pPr>
        <w:pStyle w:val="ListParagraph"/>
        <w:numPr>
          <w:ilvl w:val="0"/>
          <w:numId w:val="3"/>
        </w:numPr>
        <w:spacing w:after="80"/>
      </w:pPr>
      <w:r>
        <w:t xml:space="preserve">Renewal </w:t>
      </w:r>
      <w:proofErr w:type="gramStart"/>
      <w:r>
        <w:t xml:space="preserve">behaviors </w:t>
      </w:r>
      <w:r w:rsidR="005938D4">
        <w:t>,</w:t>
      </w:r>
      <w:proofErr w:type="gramEnd"/>
      <w:r>
        <w:t xml:space="preserve"> renewal rates, early renewal activity, and at-risk account identification patterns</w:t>
      </w:r>
    </w:p>
    <w:p w14:paraId="2577570A" w14:textId="77777777" w:rsidR="00C63D8D" w:rsidRDefault="00EB5FB8">
      <w:pPr>
        <w:spacing w:after="160"/>
      </w:pPr>
      <w:r>
        <w:rPr>
          <w:i/>
          <w:iCs/>
          <w:color w:val="555555"/>
        </w:rPr>
        <w:t>These inputs connect partner execution quality directly to customer outcomes and lifetime value.</w:t>
      </w:r>
    </w:p>
    <w:p w14:paraId="6E52F093" w14:textId="77777777" w:rsidR="00C63D8D" w:rsidRDefault="00EB5FB8">
      <w:pPr>
        <w:spacing w:before="200" w:after="120"/>
      </w:pPr>
      <w:r>
        <w:rPr>
          <w:rFonts w:ascii="Georgia" w:eastAsia="Georgia" w:hAnsi="Georgia" w:cs="Georgia"/>
          <w:b/>
          <w:bCs/>
          <w:color w:val="46624C"/>
        </w:rPr>
        <w:t>External Signals</w:t>
      </w:r>
    </w:p>
    <w:p w14:paraId="7EE41E5A" w14:textId="77777777" w:rsidR="00C63D8D" w:rsidRDefault="00EB5FB8">
      <w:pPr>
        <w:spacing w:after="160"/>
      </w:pPr>
      <w:r>
        <w:t>The strongest internal scorecards also incorporate external signals that may not appear in CRM or PRM data but can significantly affect partner capacity, trajectory, and strategic fit:</w:t>
      </w:r>
    </w:p>
    <w:p w14:paraId="106D52B7" w14:textId="32111042" w:rsidR="00C63D8D" w:rsidRDefault="00EB5FB8">
      <w:pPr>
        <w:pStyle w:val="ListParagraph"/>
        <w:numPr>
          <w:ilvl w:val="0"/>
          <w:numId w:val="3"/>
        </w:numPr>
        <w:spacing w:after="80"/>
      </w:pPr>
      <w:r>
        <w:t xml:space="preserve">Hiring </w:t>
      </w:r>
      <w:proofErr w:type="gramStart"/>
      <w:r>
        <w:t xml:space="preserve">trends </w:t>
      </w:r>
      <w:r w:rsidR="005938D4">
        <w:t>,</w:t>
      </w:r>
      <w:proofErr w:type="gramEnd"/>
      <w:r>
        <w:t xml:space="preserve"> whether the partner organization is actively hiring in relevant roles (sales, engineering, customer success) or contracting</w:t>
      </w:r>
    </w:p>
    <w:p w14:paraId="4D0AFF3C" w14:textId="28A17465" w:rsidR="00C63D8D" w:rsidRDefault="00EB5FB8">
      <w:pPr>
        <w:pStyle w:val="ListParagraph"/>
        <w:numPr>
          <w:ilvl w:val="0"/>
          <w:numId w:val="3"/>
        </w:numPr>
        <w:spacing w:after="80"/>
      </w:pPr>
      <w:r>
        <w:t xml:space="preserve">Funding </w:t>
      </w:r>
      <w:proofErr w:type="gramStart"/>
      <w:r>
        <w:t xml:space="preserve">events </w:t>
      </w:r>
      <w:r w:rsidR="005938D4">
        <w:t>,</w:t>
      </w:r>
      <w:proofErr w:type="gramEnd"/>
      <w:r>
        <w:t xml:space="preserve"> recent investment rounds, acquisitions, or financial events that may accelerate or constrain partner growth</w:t>
      </w:r>
    </w:p>
    <w:p w14:paraId="39EE88F3" w14:textId="3FB1A360" w:rsidR="00C63D8D" w:rsidRDefault="00EB5FB8">
      <w:pPr>
        <w:pStyle w:val="ListParagraph"/>
        <w:numPr>
          <w:ilvl w:val="0"/>
          <w:numId w:val="3"/>
        </w:numPr>
        <w:spacing w:after="80"/>
      </w:pPr>
      <w:r>
        <w:t xml:space="preserve">Leadership </w:t>
      </w:r>
      <w:proofErr w:type="gramStart"/>
      <w:r>
        <w:t xml:space="preserve">changes </w:t>
      </w:r>
      <w:r w:rsidR="005938D4">
        <w:t>,</w:t>
      </w:r>
      <w:proofErr w:type="gramEnd"/>
      <w:r>
        <w:t xml:space="preserve"> executive turnover, new hires in partnership-facing roles, or organizational restructuring that could shift priorities</w:t>
      </w:r>
    </w:p>
    <w:p w14:paraId="0F089830" w14:textId="4107A4B5" w:rsidR="00C63D8D" w:rsidRDefault="00EB5FB8">
      <w:pPr>
        <w:pStyle w:val="ListParagraph"/>
        <w:numPr>
          <w:ilvl w:val="0"/>
          <w:numId w:val="3"/>
        </w:numPr>
        <w:spacing w:after="80"/>
      </w:pPr>
      <w:r>
        <w:t xml:space="preserve">Layoffs or </w:t>
      </w:r>
      <w:proofErr w:type="gramStart"/>
      <w:r>
        <w:t xml:space="preserve">restructuring </w:t>
      </w:r>
      <w:r w:rsidR="005938D4">
        <w:t>,</w:t>
      </w:r>
      <w:proofErr w:type="gramEnd"/>
      <w:r>
        <w:t xml:space="preserve"> workforce reductions that may reduce partner capacity, slow deal velocity, or signal strategic shifts away from the vendor’s market</w:t>
      </w:r>
    </w:p>
    <w:p w14:paraId="57C32EF8" w14:textId="77777777" w:rsidR="00C63D8D" w:rsidRDefault="00EB5FB8">
      <w:pPr>
        <w:spacing w:after="160"/>
      </w:pPr>
      <w:r>
        <w:rPr>
          <w:i/>
          <w:iCs/>
          <w:color w:val="555555"/>
        </w:rPr>
        <w:t>Monitoring these signals provides early warning of changes that internal metrics alone would only reveal after pipeline or revenue impact has already occurred.</w:t>
      </w:r>
    </w:p>
    <w:p w14:paraId="75EDCF82" w14:textId="77777777" w:rsidR="00C63D8D" w:rsidRDefault="00EB5FB8">
      <w:pPr>
        <w:pStyle w:val="Heading2"/>
      </w:pPr>
      <w:r>
        <w:t>5.2 External Partner Scorecards</w:t>
      </w:r>
    </w:p>
    <w:p w14:paraId="3F3EB240" w14:textId="77777777" w:rsidR="00C63D8D" w:rsidRDefault="00EB5FB8">
      <w:pPr>
        <w:spacing w:after="160"/>
      </w:pPr>
      <w:r>
        <w:t>External partner scorecards are shared with partners and used to evaluate partnership performance in a transparent and collaborative way.</w:t>
      </w:r>
    </w:p>
    <w:p w14:paraId="63491D2F" w14:textId="77777777" w:rsidR="00C63D8D" w:rsidRDefault="00EB5FB8">
      <w:pPr>
        <w:spacing w:after="160"/>
      </w:pPr>
      <w:r>
        <w:t>Unlike the internal scorecard, which focuses on operational diagnostics, the external scorecard typically emphasizes revenue contribution, pipeline development, capability investment, and strategic engagement.</w:t>
      </w:r>
    </w:p>
    <w:p w14:paraId="06F18F69" w14:textId="77777777" w:rsidR="00C63D8D" w:rsidRDefault="00EB5FB8">
      <w:pPr>
        <w:spacing w:after="160"/>
      </w:pPr>
      <w:r>
        <w:t>Typical partner scorecard categories include:</w:t>
      </w:r>
    </w:p>
    <w:p w14:paraId="7C1761DE" w14:textId="77777777" w:rsidR="00C63D8D" w:rsidRDefault="00EB5FB8">
      <w:pPr>
        <w:pStyle w:val="ListParagraph"/>
        <w:numPr>
          <w:ilvl w:val="0"/>
          <w:numId w:val="14"/>
        </w:numPr>
        <w:spacing w:after="80"/>
      </w:pPr>
      <w:r>
        <w:t>Revenue contribution</w:t>
      </w:r>
    </w:p>
    <w:p w14:paraId="281280BB" w14:textId="77777777" w:rsidR="00C63D8D" w:rsidRDefault="00EB5FB8">
      <w:pPr>
        <w:pStyle w:val="ListParagraph"/>
        <w:numPr>
          <w:ilvl w:val="0"/>
          <w:numId w:val="14"/>
        </w:numPr>
        <w:spacing w:after="80"/>
      </w:pPr>
      <w:r>
        <w:t>Pipeline generation</w:t>
      </w:r>
    </w:p>
    <w:p w14:paraId="68E13BCE" w14:textId="77777777" w:rsidR="00C63D8D" w:rsidRDefault="00EB5FB8">
      <w:pPr>
        <w:pStyle w:val="ListParagraph"/>
        <w:numPr>
          <w:ilvl w:val="0"/>
          <w:numId w:val="14"/>
        </w:numPr>
        <w:spacing w:after="80"/>
      </w:pPr>
      <w:r>
        <w:t>Sales execution</w:t>
      </w:r>
    </w:p>
    <w:p w14:paraId="23C03EAE" w14:textId="77777777" w:rsidR="00C63D8D" w:rsidRDefault="00EB5FB8">
      <w:pPr>
        <w:pStyle w:val="ListParagraph"/>
        <w:numPr>
          <w:ilvl w:val="0"/>
          <w:numId w:val="14"/>
        </w:numPr>
        <w:spacing w:after="80"/>
      </w:pPr>
      <w:r>
        <w:t>Capability development</w:t>
      </w:r>
    </w:p>
    <w:p w14:paraId="213161D2" w14:textId="77777777" w:rsidR="00C63D8D" w:rsidRDefault="00EB5FB8">
      <w:pPr>
        <w:pStyle w:val="ListParagraph"/>
        <w:numPr>
          <w:ilvl w:val="0"/>
          <w:numId w:val="14"/>
        </w:numPr>
        <w:spacing w:after="80"/>
      </w:pPr>
      <w:r>
        <w:t>Marketing and ecosystem engagement</w:t>
      </w:r>
    </w:p>
    <w:p w14:paraId="7E826923" w14:textId="77777777" w:rsidR="00C63D8D" w:rsidRDefault="00EB5FB8">
      <w:pPr>
        <w:spacing w:after="160"/>
      </w:pPr>
      <w:r>
        <w:lastRenderedPageBreak/>
        <w:t>Each external scorecard should include:</w:t>
      </w:r>
    </w:p>
    <w:p w14:paraId="6C08583A" w14:textId="77777777" w:rsidR="00C63D8D" w:rsidRDefault="00EB5FB8">
      <w:pPr>
        <w:pStyle w:val="ListParagraph"/>
        <w:numPr>
          <w:ilvl w:val="0"/>
          <w:numId w:val="3"/>
        </w:numPr>
        <w:spacing w:after="80"/>
      </w:pPr>
      <w:r>
        <w:rPr>
          <w:b/>
          <w:bCs/>
        </w:rPr>
        <w:t>Scoring Period</w:t>
      </w:r>
      <w:r>
        <w:t xml:space="preserve"> Quarterly or semi-annual evaluation window.</w:t>
      </w:r>
    </w:p>
    <w:p w14:paraId="172D944C" w14:textId="77777777" w:rsidR="00C63D8D" w:rsidRDefault="00EB5FB8">
      <w:pPr>
        <w:pStyle w:val="ListParagraph"/>
        <w:numPr>
          <w:ilvl w:val="0"/>
          <w:numId w:val="3"/>
        </w:numPr>
        <w:spacing w:after="80"/>
      </w:pPr>
      <w:r>
        <w:rPr>
          <w:b/>
          <w:bCs/>
        </w:rPr>
        <w:t>Performance Metrics</w:t>
      </w:r>
      <w:r>
        <w:t xml:space="preserve"> Quantitative measures with targets and actuals for each category above.</w:t>
      </w:r>
    </w:p>
    <w:p w14:paraId="4A9ED863" w14:textId="77777777" w:rsidR="00C63D8D" w:rsidRDefault="00EB5FB8">
      <w:pPr>
        <w:pStyle w:val="ListParagraph"/>
        <w:numPr>
          <w:ilvl w:val="0"/>
          <w:numId w:val="3"/>
        </w:numPr>
        <w:spacing w:after="80"/>
      </w:pPr>
      <w:r>
        <w:rPr>
          <w:b/>
          <w:bCs/>
        </w:rPr>
        <w:t>Tier or Status Implications</w:t>
      </w:r>
      <w:r>
        <w:t xml:space="preserve"> How scorecard results affect partner tier standing, benefits eligibility, or program status.</w:t>
      </w:r>
    </w:p>
    <w:p w14:paraId="4AE03152" w14:textId="77777777" w:rsidR="00C63D8D" w:rsidRDefault="00EB5FB8">
      <w:pPr>
        <w:pStyle w:val="ListParagraph"/>
        <w:numPr>
          <w:ilvl w:val="0"/>
          <w:numId w:val="3"/>
        </w:numPr>
        <w:spacing w:after="80"/>
      </w:pPr>
      <w:r>
        <w:rPr>
          <w:b/>
          <w:bCs/>
        </w:rPr>
        <w:t>Action Items</w:t>
      </w:r>
      <w:r>
        <w:t xml:space="preserve"> Jointly agreed next steps to address gaps or capitalize on strengths.</w:t>
      </w:r>
    </w:p>
    <w:p w14:paraId="15D0EB16" w14:textId="77777777" w:rsidR="00C63D8D" w:rsidRDefault="00EB5FB8">
      <w:pPr>
        <w:pStyle w:val="ListParagraph"/>
        <w:numPr>
          <w:ilvl w:val="0"/>
          <w:numId w:val="3"/>
        </w:numPr>
        <w:spacing w:after="80"/>
      </w:pPr>
      <w:r>
        <w:rPr>
          <w:b/>
          <w:bCs/>
        </w:rPr>
        <w:t>Trend Data</w:t>
      </w:r>
      <w:r>
        <w:t xml:space="preserve"> Period-over-period comparison showing trajectory, not just a snapshot.</w:t>
      </w:r>
    </w:p>
    <w:p w14:paraId="0AD76BBC" w14:textId="77777777" w:rsidR="00C63D8D" w:rsidRDefault="00EB5FB8">
      <w:pPr>
        <w:spacing w:after="160"/>
      </w:pPr>
      <w:r>
        <w:rPr>
          <w:i/>
          <w:iCs/>
          <w:color w:val="555555"/>
        </w:rPr>
        <w:t>These scorecards form the basis for partnership performance discussions.</w:t>
      </w:r>
    </w:p>
    <w:p w14:paraId="054CBC61" w14:textId="77777777" w:rsidR="00C63D8D" w:rsidRDefault="00EB5FB8">
      <w:pPr>
        <w:pStyle w:val="Heading2"/>
      </w:pPr>
      <w:r>
        <w:t>5.3 Quarterly Business Reviews (QBRs)</w:t>
      </w:r>
    </w:p>
    <w:p w14:paraId="6BE387BD" w14:textId="77777777" w:rsidR="00C63D8D" w:rsidRDefault="00EB5FB8">
      <w:pPr>
        <w:spacing w:after="160"/>
      </w:pPr>
      <w:r>
        <w:t xml:space="preserve">Quarterly business reviews provide a structured forum for reviewing partnership performance and </w:t>
      </w:r>
      <w:proofErr w:type="gramStart"/>
      <w:r>
        <w:t>aligning on</w:t>
      </w:r>
      <w:proofErr w:type="gramEnd"/>
      <w:r>
        <w:t xml:space="preserve"> growth initiatives.</w:t>
      </w:r>
    </w:p>
    <w:p w14:paraId="12DB47D6" w14:textId="77777777" w:rsidR="00C63D8D" w:rsidRDefault="00EB5FB8">
      <w:pPr>
        <w:spacing w:after="160"/>
      </w:pPr>
      <w:r>
        <w:t>Typical QBR topics include:</w:t>
      </w:r>
    </w:p>
    <w:p w14:paraId="015F9F0F" w14:textId="77777777" w:rsidR="00C63D8D" w:rsidRDefault="00EB5FB8">
      <w:pPr>
        <w:spacing w:before="200" w:after="120"/>
      </w:pPr>
      <w:r>
        <w:rPr>
          <w:rFonts w:ascii="Georgia" w:eastAsia="Georgia" w:hAnsi="Georgia" w:cs="Georgia"/>
          <w:b/>
          <w:bCs/>
          <w:color w:val="46624C"/>
        </w:rPr>
        <w:t>Performance Review</w:t>
      </w:r>
    </w:p>
    <w:p w14:paraId="4C65AC69" w14:textId="77777777" w:rsidR="00C63D8D" w:rsidRDefault="00EB5FB8">
      <w:pPr>
        <w:pStyle w:val="ListParagraph"/>
        <w:numPr>
          <w:ilvl w:val="0"/>
          <w:numId w:val="3"/>
        </w:numPr>
        <w:spacing w:after="80"/>
      </w:pPr>
      <w:r>
        <w:t>Partner sourced revenue</w:t>
      </w:r>
    </w:p>
    <w:p w14:paraId="73940731" w14:textId="77777777" w:rsidR="00C63D8D" w:rsidRDefault="00EB5FB8">
      <w:pPr>
        <w:pStyle w:val="ListParagraph"/>
        <w:numPr>
          <w:ilvl w:val="0"/>
          <w:numId w:val="3"/>
        </w:numPr>
        <w:spacing w:after="80"/>
      </w:pPr>
      <w:r>
        <w:t>Partner influenced revenue</w:t>
      </w:r>
    </w:p>
    <w:p w14:paraId="10E4E04F" w14:textId="77777777" w:rsidR="00C63D8D" w:rsidRDefault="00EB5FB8">
      <w:pPr>
        <w:pStyle w:val="ListParagraph"/>
        <w:numPr>
          <w:ilvl w:val="0"/>
          <w:numId w:val="3"/>
        </w:numPr>
        <w:spacing w:after="80"/>
      </w:pPr>
      <w:r>
        <w:t>Pipeline generated</w:t>
      </w:r>
    </w:p>
    <w:p w14:paraId="377DF3C4" w14:textId="77777777" w:rsidR="00C63D8D" w:rsidRDefault="00EB5FB8">
      <w:pPr>
        <w:pStyle w:val="ListParagraph"/>
        <w:numPr>
          <w:ilvl w:val="0"/>
          <w:numId w:val="3"/>
        </w:numPr>
        <w:spacing w:after="80"/>
      </w:pPr>
      <w:r>
        <w:t>Win rate</w:t>
      </w:r>
    </w:p>
    <w:p w14:paraId="75FD8176" w14:textId="77777777" w:rsidR="00C63D8D" w:rsidRDefault="00EB5FB8">
      <w:pPr>
        <w:pStyle w:val="ListParagraph"/>
        <w:numPr>
          <w:ilvl w:val="0"/>
          <w:numId w:val="3"/>
        </w:numPr>
        <w:spacing w:after="80"/>
      </w:pPr>
      <w:r>
        <w:t>Deal velocity</w:t>
      </w:r>
    </w:p>
    <w:p w14:paraId="195C9537" w14:textId="77777777" w:rsidR="00C63D8D" w:rsidRDefault="00EB5FB8">
      <w:pPr>
        <w:pStyle w:val="ListParagraph"/>
        <w:numPr>
          <w:ilvl w:val="0"/>
          <w:numId w:val="3"/>
        </w:numPr>
        <w:spacing w:after="80"/>
      </w:pPr>
      <w:r>
        <w:t>Average deal size</w:t>
      </w:r>
    </w:p>
    <w:p w14:paraId="0FD51083" w14:textId="77777777" w:rsidR="00C63D8D" w:rsidRDefault="00EB5FB8">
      <w:pPr>
        <w:spacing w:before="200" w:after="120"/>
      </w:pPr>
      <w:r>
        <w:rPr>
          <w:rFonts w:ascii="Georgia" w:eastAsia="Georgia" w:hAnsi="Georgia" w:cs="Georgia"/>
          <w:b/>
          <w:bCs/>
          <w:color w:val="46624C"/>
        </w:rPr>
        <w:t>Pipeline and Opportunity Review</w:t>
      </w:r>
    </w:p>
    <w:p w14:paraId="7BE72789" w14:textId="77777777" w:rsidR="00C63D8D" w:rsidRDefault="00EB5FB8">
      <w:pPr>
        <w:pStyle w:val="ListParagraph"/>
        <w:numPr>
          <w:ilvl w:val="0"/>
          <w:numId w:val="3"/>
        </w:numPr>
        <w:spacing w:after="80"/>
      </w:pPr>
      <w:r>
        <w:t>Active opportunities</w:t>
      </w:r>
    </w:p>
    <w:p w14:paraId="6DE4AA94" w14:textId="77777777" w:rsidR="00C63D8D" w:rsidRDefault="00EB5FB8">
      <w:pPr>
        <w:pStyle w:val="ListParagraph"/>
        <w:numPr>
          <w:ilvl w:val="0"/>
          <w:numId w:val="3"/>
        </w:numPr>
        <w:spacing w:after="80"/>
      </w:pPr>
      <w:r>
        <w:t>Strategic accounts</w:t>
      </w:r>
    </w:p>
    <w:p w14:paraId="7870DAAF" w14:textId="77777777" w:rsidR="00C63D8D" w:rsidRDefault="00EB5FB8">
      <w:pPr>
        <w:pStyle w:val="ListParagraph"/>
        <w:numPr>
          <w:ilvl w:val="0"/>
          <w:numId w:val="3"/>
        </w:numPr>
        <w:spacing w:after="80"/>
      </w:pPr>
      <w:r>
        <w:t>Pipeline coverage</w:t>
      </w:r>
    </w:p>
    <w:p w14:paraId="1C827392" w14:textId="77777777" w:rsidR="00C63D8D" w:rsidRDefault="00EB5FB8">
      <w:pPr>
        <w:spacing w:before="200" w:after="120"/>
      </w:pPr>
      <w:r>
        <w:rPr>
          <w:rFonts w:ascii="Georgia" w:eastAsia="Georgia" w:hAnsi="Georgia" w:cs="Georgia"/>
          <w:b/>
          <w:bCs/>
          <w:color w:val="46624C"/>
        </w:rPr>
        <w:t>Enablement Progress</w:t>
      </w:r>
    </w:p>
    <w:p w14:paraId="53987597" w14:textId="77777777" w:rsidR="00C63D8D" w:rsidRDefault="00EB5FB8">
      <w:pPr>
        <w:pStyle w:val="ListParagraph"/>
        <w:numPr>
          <w:ilvl w:val="0"/>
          <w:numId w:val="3"/>
        </w:numPr>
        <w:spacing w:after="80"/>
      </w:pPr>
      <w:r>
        <w:t>Certification progress</w:t>
      </w:r>
    </w:p>
    <w:p w14:paraId="1AE3FB9F" w14:textId="77777777" w:rsidR="00C63D8D" w:rsidRDefault="00EB5FB8">
      <w:pPr>
        <w:pStyle w:val="ListParagraph"/>
        <w:numPr>
          <w:ilvl w:val="0"/>
          <w:numId w:val="3"/>
        </w:numPr>
        <w:spacing w:after="80"/>
      </w:pPr>
      <w:r>
        <w:t>Training completion</w:t>
      </w:r>
    </w:p>
    <w:p w14:paraId="3738CD77" w14:textId="77777777" w:rsidR="00C63D8D" w:rsidRDefault="00EB5FB8">
      <w:pPr>
        <w:pStyle w:val="ListParagraph"/>
        <w:numPr>
          <w:ilvl w:val="0"/>
          <w:numId w:val="3"/>
        </w:numPr>
        <w:spacing w:after="80"/>
      </w:pPr>
      <w:r>
        <w:t>Implementation readiness</w:t>
      </w:r>
    </w:p>
    <w:p w14:paraId="192F2BBE" w14:textId="77D804B2" w:rsidR="00C63D8D" w:rsidRDefault="00EB5FB8">
      <w:pPr>
        <w:pStyle w:val="ListParagraph"/>
        <w:numPr>
          <w:ilvl w:val="0"/>
          <w:numId w:val="3"/>
        </w:numPr>
        <w:spacing w:after="80"/>
      </w:pPr>
      <w:r>
        <w:t xml:space="preserve">Certified seller performance vs. non-certified seller </w:t>
      </w:r>
      <w:proofErr w:type="gramStart"/>
      <w:r>
        <w:t xml:space="preserve">performance </w:t>
      </w:r>
      <w:r w:rsidR="005938D4">
        <w:t>,</w:t>
      </w:r>
      <w:proofErr w:type="gramEnd"/>
      <w:r>
        <w:t xml:space="preserve"> comparing conversion rates, deal sizes, and cycle times to reinforce enablement accountability</w:t>
      </w:r>
    </w:p>
    <w:p w14:paraId="41ADE5E0" w14:textId="77777777" w:rsidR="00C63D8D" w:rsidRDefault="00EB5FB8">
      <w:pPr>
        <w:spacing w:before="200" w:after="120"/>
      </w:pPr>
      <w:r>
        <w:rPr>
          <w:rFonts w:ascii="Georgia" w:eastAsia="Georgia" w:hAnsi="Georgia" w:cs="Georgia"/>
          <w:b/>
          <w:bCs/>
          <w:color w:val="46624C"/>
        </w:rPr>
        <w:t>Marketing and Demand Generation</w:t>
      </w:r>
    </w:p>
    <w:p w14:paraId="475891A6" w14:textId="77777777" w:rsidR="00C63D8D" w:rsidRDefault="00EB5FB8">
      <w:pPr>
        <w:pStyle w:val="ListParagraph"/>
        <w:numPr>
          <w:ilvl w:val="0"/>
          <w:numId w:val="3"/>
        </w:numPr>
        <w:spacing w:after="80"/>
      </w:pPr>
      <w:r>
        <w:t>Campaign performance</w:t>
      </w:r>
    </w:p>
    <w:p w14:paraId="2BD86DE4" w14:textId="77777777" w:rsidR="00C63D8D" w:rsidRDefault="00EB5FB8">
      <w:pPr>
        <w:pStyle w:val="ListParagraph"/>
        <w:numPr>
          <w:ilvl w:val="0"/>
          <w:numId w:val="3"/>
        </w:numPr>
        <w:spacing w:after="80"/>
      </w:pPr>
      <w:r>
        <w:t>Events and lead generation</w:t>
      </w:r>
    </w:p>
    <w:p w14:paraId="28FC7C7A" w14:textId="77777777" w:rsidR="00C63D8D" w:rsidRDefault="00EB5FB8">
      <w:pPr>
        <w:pStyle w:val="ListParagraph"/>
        <w:numPr>
          <w:ilvl w:val="0"/>
          <w:numId w:val="3"/>
        </w:numPr>
        <w:spacing w:after="80"/>
      </w:pPr>
      <w:r>
        <w:t>Joint marketing initiatives</w:t>
      </w:r>
    </w:p>
    <w:p w14:paraId="79401415" w14:textId="77777777" w:rsidR="00C63D8D" w:rsidRDefault="00EB5FB8">
      <w:pPr>
        <w:spacing w:before="200" w:after="120"/>
      </w:pPr>
      <w:r>
        <w:rPr>
          <w:rFonts w:ascii="Georgia" w:eastAsia="Georgia" w:hAnsi="Georgia" w:cs="Georgia"/>
          <w:b/>
          <w:bCs/>
          <w:color w:val="46624C"/>
        </w:rPr>
        <w:t>Partnership Health &amp; Relationship</w:t>
      </w:r>
    </w:p>
    <w:p w14:paraId="2A4F5993" w14:textId="77777777" w:rsidR="00C63D8D" w:rsidRDefault="00EB5FB8">
      <w:pPr>
        <w:spacing w:after="160"/>
      </w:pPr>
      <w:r>
        <w:lastRenderedPageBreak/>
        <w:t>This section evaluates the strength of the working relationship beyond transactional metrics:</w:t>
      </w:r>
    </w:p>
    <w:p w14:paraId="412C1E44" w14:textId="77777777" w:rsidR="00C63D8D" w:rsidRDefault="00EB5FB8">
      <w:pPr>
        <w:pStyle w:val="ListParagraph"/>
        <w:numPr>
          <w:ilvl w:val="0"/>
          <w:numId w:val="3"/>
        </w:numPr>
        <w:spacing w:after="80"/>
      </w:pPr>
      <w:r>
        <w:t>Executive sponsor engagement and cadence</w:t>
      </w:r>
    </w:p>
    <w:p w14:paraId="5491E394" w14:textId="6BDCB453" w:rsidR="00C63D8D" w:rsidRDefault="00EB5FB8">
      <w:pPr>
        <w:pStyle w:val="ListParagraph"/>
        <w:numPr>
          <w:ilvl w:val="0"/>
          <w:numId w:val="3"/>
        </w:numPr>
        <w:spacing w:after="80"/>
      </w:pPr>
      <w:r>
        <w:t xml:space="preserve">Escalation </w:t>
      </w:r>
      <w:proofErr w:type="gramStart"/>
      <w:r>
        <w:t xml:space="preserve">trends </w:t>
      </w:r>
      <w:r w:rsidR="005938D4">
        <w:t>,</w:t>
      </w:r>
      <w:proofErr w:type="gramEnd"/>
      <w:r>
        <w:t xml:space="preserve"> frequency, severity, and resolution time</w:t>
      </w:r>
    </w:p>
    <w:p w14:paraId="7BD48C8A" w14:textId="77777777" w:rsidR="00C63D8D" w:rsidRDefault="00EB5FB8">
      <w:pPr>
        <w:pStyle w:val="ListParagraph"/>
        <w:numPr>
          <w:ilvl w:val="0"/>
          <w:numId w:val="3"/>
        </w:numPr>
        <w:spacing w:after="80"/>
      </w:pPr>
      <w:r>
        <w:t>Partner satisfaction signals (NPS, survey feedback, or qualitative input)</w:t>
      </w:r>
    </w:p>
    <w:p w14:paraId="242079EE" w14:textId="77777777" w:rsidR="00C63D8D" w:rsidRDefault="00EB5FB8">
      <w:pPr>
        <w:pStyle w:val="ListParagraph"/>
        <w:numPr>
          <w:ilvl w:val="0"/>
          <w:numId w:val="3"/>
        </w:numPr>
        <w:spacing w:after="80"/>
      </w:pPr>
      <w:r>
        <w:t>Joint business plan adherence and progress</w:t>
      </w:r>
    </w:p>
    <w:p w14:paraId="0CF2533D" w14:textId="77777777" w:rsidR="00C63D8D" w:rsidRDefault="00EB5FB8">
      <w:pPr>
        <w:spacing w:before="200" w:after="120"/>
      </w:pPr>
      <w:r>
        <w:rPr>
          <w:rFonts w:ascii="Georgia" w:eastAsia="Georgia" w:hAnsi="Georgia" w:cs="Georgia"/>
          <w:b/>
          <w:bCs/>
          <w:color w:val="46624C"/>
        </w:rPr>
        <w:t>Operational Improvements</w:t>
      </w:r>
    </w:p>
    <w:p w14:paraId="47701258" w14:textId="77777777" w:rsidR="00C63D8D" w:rsidRDefault="00EB5FB8">
      <w:pPr>
        <w:pStyle w:val="ListParagraph"/>
        <w:numPr>
          <w:ilvl w:val="0"/>
          <w:numId w:val="3"/>
        </w:numPr>
        <w:spacing w:after="80"/>
      </w:pPr>
      <w:r>
        <w:t>Process friction</w:t>
      </w:r>
    </w:p>
    <w:p w14:paraId="317C82E0" w14:textId="77777777" w:rsidR="00C63D8D" w:rsidRDefault="00EB5FB8">
      <w:pPr>
        <w:pStyle w:val="ListParagraph"/>
        <w:numPr>
          <w:ilvl w:val="0"/>
          <w:numId w:val="3"/>
        </w:numPr>
        <w:spacing w:after="80"/>
      </w:pPr>
      <w:r>
        <w:t>Pricing challenges</w:t>
      </w:r>
    </w:p>
    <w:p w14:paraId="10B59B1A" w14:textId="77777777" w:rsidR="00C63D8D" w:rsidRDefault="00EB5FB8">
      <w:pPr>
        <w:pStyle w:val="ListParagraph"/>
        <w:numPr>
          <w:ilvl w:val="0"/>
          <w:numId w:val="3"/>
        </w:numPr>
        <w:spacing w:after="80"/>
      </w:pPr>
      <w:r>
        <w:t>Support gaps</w:t>
      </w:r>
    </w:p>
    <w:p w14:paraId="220BF21D" w14:textId="77777777" w:rsidR="00C63D8D" w:rsidRDefault="00EB5FB8">
      <w:pPr>
        <w:spacing w:before="200" w:after="120"/>
      </w:pPr>
      <w:r>
        <w:rPr>
          <w:rFonts w:ascii="Georgia" w:eastAsia="Georgia" w:hAnsi="Georgia" w:cs="Georgia"/>
          <w:b/>
          <w:bCs/>
          <w:color w:val="46624C"/>
        </w:rPr>
        <w:t>Next-Quarter Growth Plan</w:t>
      </w:r>
    </w:p>
    <w:p w14:paraId="3F5408D1" w14:textId="77777777" w:rsidR="00C63D8D" w:rsidRDefault="00EB5FB8">
      <w:pPr>
        <w:pStyle w:val="ListParagraph"/>
        <w:numPr>
          <w:ilvl w:val="0"/>
          <w:numId w:val="3"/>
        </w:numPr>
        <w:spacing w:after="80"/>
      </w:pPr>
      <w:r>
        <w:t>Pipeline targets</w:t>
      </w:r>
    </w:p>
    <w:p w14:paraId="15E3224E" w14:textId="77777777" w:rsidR="00C63D8D" w:rsidRDefault="00EB5FB8">
      <w:pPr>
        <w:pStyle w:val="ListParagraph"/>
        <w:numPr>
          <w:ilvl w:val="0"/>
          <w:numId w:val="3"/>
        </w:numPr>
        <w:spacing w:after="80"/>
      </w:pPr>
      <w:r>
        <w:t>Strategic account initiatives</w:t>
      </w:r>
    </w:p>
    <w:p w14:paraId="45A7BEC9" w14:textId="77777777" w:rsidR="00C63D8D" w:rsidRDefault="00EB5FB8">
      <w:pPr>
        <w:pStyle w:val="ListParagraph"/>
        <w:numPr>
          <w:ilvl w:val="0"/>
          <w:numId w:val="3"/>
        </w:numPr>
        <w:spacing w:after="80"/>
      </w:pPr>
      <w:r>
        <w:t>Enablement milestones</w:t>
      </w:r>
    </w:p>
    <w:p w14:paraId="4F4F048D" w14:textId="77777777" w:rsidR="00C63D8D" w:rsidRDefault="00EB5FB8">
      <w:pPr>
        <w:pStyle w:val="ListParagraph"/>
        <w:numPr>
          <w:ilvl w:val="0"/>
          <w:numId w:val="3"/>
        </w:numPr>
        <w:spacing w:after="80"/>
      </w:pPr>
      <w:r>
        <w:t>Joint marketing activities</w:t>
      </w:r>
    </w:p>
    <w:sectPr w:rsidR="00C63D8D">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FAEC" w14:textId="77777777" w:rsidR="00217F83" w:rsidRDefault="00217F83">
      <w:r>
        <w:separator/>
      </w:r>
    </w:p>
  </w:endnote>
  <w:endnote w:type="continuationSeparator" w:id="0">
    <w:p w14:paraId="4BF6B663" w14:textId="77777777" w:rsidR="00217F83" w:rsidRDefault="0021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269B" w14:textId="77777777" w:rsidR="00C63D8D" w:rsidRDefault="00EB5FB8">
    <w:pPr>
      <w:jc w:val="center"/>
    </w:pPr>
    <w:r>
      <w:rPr>
        <w:color w:val="A1ACA6"/>
        <w:sz w:val="18"/>
        <w:szCs w:val="18"/>
      </w:rPr>
      <w:t xml:space="preserve">Page </w:t>
    </w:r>
    <w:r>
      <w:rPr>
        <w:color w:val="A1ACA6"/>
        <w:sz w:val="18"/>
        <w:szCs w:val="18"/>
      </w:rPr>
      <w:fldChar w:fldCharType="begin"/>
    </w:r>
    <w:r>
      <w:rPr>
        <w:color w:val="A1ACA6"/>
        <w:sz w:val="18"/>
        <w:szCs w:val="18"/>
      </w:rPr>
      <w:instrText>PAGE</w:instrText>
    </w:r>
    <w:r>
      <w:rPr>
        <w:color w:val="A1ACA6"/>
        <w:sz w:val="18"/>
        <w:szCs w:val="18"/>
      </w:rPr>
      <w:fldChar w:fldCharType="separate"/>
    </w:r>
    <w:r w:rsidR="00A57C87">
      <w:rPr>
        <w:noProof/>
        <w:color w:val="A1ACA6"/>
        <w:sz w:val="18"/>
        <w:szCs w:val="18"/>
      </w:rPr>
      <w:t>1</w:t>
    </w:r>
    <w:r>
      <w:rPr>
        <w:color w:val="A1AC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7AF0" w14:textId="77777777" w:rsidR="00217F83" w:rsidRDefault="00217F83">
      <w:r>
        <w:separator/>
      </w:r>
    </w:p>
  </w:footnote>
  <w:footnote w:type="continuationSeparator" w:id="0">
    <w:p w14:paraId="6401D76E" w14:textId="77777777" w:rsidR="00217F83" w:rsidRDefault="00217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5684" w14:textId="77777777" w:rsidR="00C63D8D" w:rsidRDefault="00EB5FB8">
    <w:pPr>
      <w:jc w:val="right"/>
    </w:pPr>
    <w:r>
      <w:rPr>
        <w:rFonts w:ascii="Georgia" w:eastAsia="Georgia" w:hAnsi="Georgia" w:cs="Georgia"/>
        <w:i/>
        <w:iCs/>
        <w:color w:val="A1ACA6"/>
        <w:sz w:val="18"/>
        <w:szCs w:val="18"/>
      </w:rPr>
      <w:t>Partner/Channel Operations Infrastructure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CB6"/>
    <w:multiLevelType w:val="hybridMultilevel"/>
    <w:tmpl w:val="50403C4A"/>
    <w:lvl w:ilvl="0" w:tplc="326E0210">
      <w:start w:val="1"/>
      <w:numFmt w:val="bullet"/>
      <w:lvlText w:val="•"/>
      <w:lvlJc w:val="left"/>
      <w:pPr>
        <w:ind w:left="720" w:hanging="360"/>
      </w:pPr>
    </w:lvl>
    <w:lvl w:ilvl="1" w:tplc="815AD468">
      <w:numFmt w:val="decimal"/>
      <w:lvlText w:val=""/>
      <w:lvlJc w:val="left"/>
    </w:lvl>
    <w:lvl w:ilvl="2" w:tplc="4F4434C0">
      <w:numFmt w:val="decimal"/>
      <w:lvlText w:val=""/>
      <w:lvlJc w:val="left"/>
    </w:lvl>
    <w:lvl w:ilvl="3" w:tplc="FEC441AE">
      <w:numFmt w:val="decimal"/>
      <w:lvlText w:val=""/>
      <w:lvlJc w:val="left"/>
    </w:lvl>
    <w:lvl w:ilvl="4" w:tplc="3696742E">
      <w:numFmt w:val="decimal"/>
      <w:lvlText w:val=""/>
      <w:lvlJc w:val="left"/>
    </w:lvl>
    <w:lvl w:ilvl="5" w:tplc="9836F5F8">
      <w:numFmt w:val="decimal"/>
      <w:lvlText w:val=""/>
      <w:lvlJc w:val="left"/>
    </w:lvl>
    <w:lvl w:ilvl="6" w:tplc="C2DE7664">
      <w:numFmt w:val="decimal"/>
      <w:lvlText w:val=""/>
      <w:lvlJc w:val="left"/>
    </w:lvl>
    <w:lvl w:ilvl="7" w:tplc="4E0EF684">
      <w:numFmt w:val="decimal"/>
      <w:lvlText w:val=""/>
      <w:lvlJc w:val="left"/>
    </w:lvl>
    <w:lvl w:ilvl="8" w:tplc="E2DA7F30">
      <w:numFmt w:val="decimal"/>
      <w:lvlText w:val=""/>
      <w:lvlJc w:val="left"/>
    </w:lvl>
  </w:abstractNum>
  <w:abstractNum w:abstractNumId="1" w15:restartNumberingAfterBreak="0">
    <w:nsid w:val="04E8653F"/>
    <w:multiLevelType w:val="hybridMultilevel"/>
    <w:tmpl w:val="EC5C2E70"/>
    <w:lvl w:ilvl="0" w:tplc="CB38AB6E">
      <w:start w:val="1"/>
      <w:numFmt w:val="bullet"/>
      <w:lvlText w:val="•"/>
      <w:lvlJc w:val="left"/>
      <w:pPr>
        <w:ind w:left="720" w:hanging="360"/>
      </w:pPr>
    </w:lvl>
    <w:lvl w:ilvl="1" w:tplc="18DE5B3A">
      <w:numFmt w:val="decimal"/>
      <w:lvlText w:val=""/>
      <w:lvlJc w:val="left"/>
    </w:lvl>
    <w:lvl w:ilvl="2" w:tplc="5C269234">
      <w:numFmt w:val="decimal"/>
      <w:lvlText w:val=""/>
      <w:lvlJc w:val="left"/>
    </w:lvl>
    <w:lvl w:ilvl="3" w:tplc="47F280DA">
      <w:numFmt w:val="decimal"/>
      <w:lvlText w:val=""/>
      <w:lvlJc w:val="left"/>
    </w:lvl>
    <w:lvl w:ilvl="4" w:tplc="9EC457E4">
      <w:numFmt w:val="decimal"/>
      <w:lvlText w:val=""/>
      <w:lvlJc w:val="left"/>
    </w:lvl>
    <w:lvl w:ilvl="5" w:tplc="40E4C0D8">
      <w:numFmt w:val="decimal"/>
      <w:lvlText w:val=""/>
      <w:lvlJc w:val="left"/>
    </w:lvl>
    <w:lvl w:ilvl="6" w:tplc="90BAD46C">
      <w:numFmt w:val="decimal"/>
      <w:lvlText w:val=""/>
      <w:lvlJc w:val="left"/>
    </w:lvl>
    <w:lvl w:ilvl="7" w:tplc="B2CA68AC">
      <w:numFmt w:val="decimal"/>
      <w:lvlText w:val=""/>
      <w:lvlJc w:val="left"/>
    </w:lvl>
    <w:lvl w:ilvl="8" w:tplc="14A2F114">
      <w:numFmt w:val="decimal"/>
      <w:lvlText w:val=""/>
      <w:lvlJc w:val="left"/>
    </w:lvl>
  </w:abstractNum>
  <w:abstractNum w:abstractNumId="2" w15:restartNumberingAfterBreak="0">
    <w:nsid w:val="094C4CF5"/>
    <w:multiLevelType w:val="hybridMultilevel"/>
    <w:tmpl w:val="213ECF3A"/>
    <w:lvl w:ilvl="0" w:tplc="88FEE5E4">
      <w:start w:val="1"/>
      <w:numFmt w:val="bullet"/>
      <w:lvlText w:val="•"/>
      <w:lvlJc w:val="left"/>
      <w:pPr>
        <w:ind w:left="720" w:hanging="360"/>
      </w:pPr>
    </w:lvl>
    <w:lvl w:ilvl="1" w:tplc="216A55D8">
      <w:numFmt w:val="decimal"/>
      <w:lvlText w:val=""/>
      <w:lvlJc w:val="left"/>
    </w:lvl>
    <w:lvl w:ilvl="2" w:tplc="C534137C">
      <w:numFmt w:val="decimal"/>
      <w:lvlText w:val=""/>
      <w:lvlJc w:val="left"/>
    </w:lvl>
    <w:lvl w:ilvl="3" w:tplc="C5AC0498">
      <w:numFmt w:val="decimal"/>
      <w:lvlText w:val=""/>
      <w:lvlJc w:val="left"/>
    </w:lvl>
    <w:lvl w:ilvl="4" w:tplc="75083254">
      <w:numFmt w:val="decimal"/>
      <w:lvlText w:val=""/>
      <w:lvlJc w:val="left"/>
    </w:lvl>
    <w:lvl w:ilvl="5" w:tplc="0ACE0094">
      <w:numFmt w:val="decimal"/>
      <w:lvlText w:val=""/>
      <w:lvlJc w:val="left"/>
    </w:lvl>
    <w:lvl w:ilvl="6" w:tplc="890614B0">
      <w:numFmt w:val="decimal"/>
      <w:lvlText w:val=""/>
      <w:lvlJc w:val="left"/>
    </w:lvl>
    <w:lvl w:ilvl="7" w:tplc="1CFC7182">
      <w:numFmt w:val="decimal"/>
      <w:lvlText w:val=""/>
      <w:lvlJc w:val="left"/>
    </w:lvl>
    <w:lvl w:ilvl="8" w:tplc="FFB8D3AE">
      <w:numFmt w:val="decimal"/>
      <w:lvlText w:val=""/>
      <w:lvlJc w:val="left"/>
    </w:lvl>
  </w:abstractNum>
  <w:abstractNum w:abstractNumId="3" w15:restartNumberingAfterBreak="0">
    <w:nsid w:val="0BF97D90"/>
    <w:multiLevelType w:val="hybridMultilevel"/>
    <w:tmpl w:val="A26ECB60"/>
    <w:lvl w:ilvl="0" w:tplc="BE0C49B8">
      <w:start w:val="1"/>
      <w:numFmt w:val="bullet"/>
      <w:lvlText w:val="●"/>
      <w:lvlJc w:val="left"/>
      <w:pPr>
        <w:ind w:left="720" w:hanging="360"/>
      </w:pPr>
    </w:lvl>
    <w:lvl w:ilvl="1" w:tplc="7F1E2614">
      <w:start w:val="1"/>
      <w:numFmt w:val="bullet"/>
      <w:lvlText w:val="○"/>
      <w:lvlJc w:val="left"/>
      <w:pPr>
        <w:ind w:left="1440" w:hanging="360"/>
      </w:pPr>
    </w:lvl>
    <w:lvl w:ilvl="2" w:tplc="4208B7D8">
      <w:start w:val="1"/>
      <w:numFmt w:val="bullet"/>
      <w:lvlText w:val="■"/>
      <w:lvlJc w:val="left"/>
      <w:pPr>
        <w:ind w:left="2160" w:hanging="360"/>
      </w:pPr>
    </w:lvl>
    <w:lvl w:ilvl="3" w:tplc="8BEA37D6">
      <w:start w:val="1"/>
      <w:numFmt w:val="bullet"/>
      <w:lvlText w:val="●"/>
      <w:lvlJc w:val="left"/>
      <w:pPr>
        <w:ind w:left="2880" w:hanging="360"/>
      </w:pPr>
    </w:lvl>
    <w:lvl w:ilvl="4" w:tplc="8EA48D3E">
      <w:start w:val="1"/>
      <w:numFmt w:val="bullet"/>
      <w:lvlText w:val="○"/>
      <w:lvlJc w:val="left"/>
      <w:pPr>
        <w:ind w:left="3600" w:hanging="360"/>
      </w:pPr>
    </w:lvl>
    <w:lvl w:ilvl="5" w:tplc="E822FB16">
      <w:start w:val="1"/>
      <w:numFmt w:val="bullet"/>
      <w:lvlText w:val="■"/>
      <w:lvlJc w:val="left"/>
      <w:pPr>
        <w:ind w:left="4320" w:hanging="360"/>
      </w:pPr>
    </w:lvl>
    <w:lvl w:ilvl="6" w:tplc="40DA3AE2">
      <w:start w:val="1"/>
      <w:numFmt w:val="bullet"/>
      <w:lvlText w:val="●"/>
      <w:lvlJc w:val="left"/>
      <w:pPr>
        <w:ind w:left="5040" w:hanging="360"/>
      </w:pPr>
    </w:lvl>
    <w:lvl w:ilvl="7" w:tplc="72BE5326">
      <w:start w:val="1"/>
      <w:numFmt w:val="bullet"/>
      <w:lvlText w:val="●"/>
      <w:lvlJc w:val="left"/>
      <w:pPr>
        <w:ind w:left="5760" w:hanging="360"/>
      </w:pPr>
    </w:lvl>
    <w:lvl w:ilvl="8" w:tplc="509CC6CE">
      <w:start w:val="1"/>
      <w:numFmt w:val="bullet"/>
      <w:lvlText w:val="●"/>
      <w:lvlJc w:val="left"/>
      <w:pPr>
        <w:ind w:left="6480" w:hanging="360"/>
      </w:pPr>
    </w:lvl>
  </w:abstractNum>
  <w:abstractNum w:abstractNumId="4" w15:restartNumberingAfterBreak="0">
    <w:nsid w:val="25056A92"/>
    <w:multiLevelType w:val="hybridMultilevel"/>
    <w:tmpl w:val="871CD62E"/>
    <w:lvl w:ilvl="0" w:tplc="39B68DD6">
      <w:start w:val="1"/>
      <w:numFmt w:val="bullet"/>
      <w:lvlText w:val="•"/>
      <w:lvlJc w:val="left"/>
      <w:pPr>
        <w:ind w:left="720" w:hanging="360"/>
      </w:pPr>
    </w:lvl>
    <w:lvl w:ilvl="1" w:tplc="CE4CF1D0">
      <w:numFmt w:val="decimal"/>
      <w:lvlText w:val=""/>
      <w:lvlJc w:val="left"/>
    </w:lvl>
    <w:lvl w:ilvl="2" w:tplc="51E64B06">
      <w:numFmt w:val="decimal"/>
      <w:lvlText w:val=""/>
      <w:lvlJc w:val="left"/>
    </w:lvl>
    <w:lvl w:ilvl="3" w:tplc="99340F6C">
      <w:numFmt w:val="decimal"/>
      <w:lvlText w:val=""/>
      <w:lvlJc w:val="left"/>
    </w:lvl>
    <w:lvl w:ilvl="4" w:tplc="ECD68A96">
      <w:numFmt w:val="decimal"/>
      <w:lvlText w:val=""/>
      <w:lvlJc w:val="left"/>
    </w:lvl>
    <w:lvl w:ilvl="5" w:tplc="1B18B04E">
      <w:numFmt w:val="decimal"/>
      <w:lvlText w:val=""/>
      <w:lvlJc w:val="left"/>
    </w:lvl>
    <w:lvl w:ilvl="6" w:tplc="201E9828">
      <w:numFmt w:val="decimal"/>
      <w:lvlText w:val=""/>
      <w:lvlJc w:val="left"/>
    </w:lvl>
    <w:lvl w:ilvl="7" w:tplc="B89851DA">
      <w:numFmt w:val="decimal"/>
      <w:lvlText w:val=""/>
      <w:lvlJc w:val="left"/>
    </w:lvl>
    <w:lvl w:ilvl="8" w:tplc="7182EAD8">
      <w:numFmt w:val="decimal"/>
      <w:lvlText w:val=""/>
      <w:lvlJc w:val="left"/>
    </w:lvl>
  </w:abstractNum>
  <w:abstractNum w:abstractNumId="5" w15:restartNumberingAfterBreak="0">
    <w:nsid w:val="2BB50576"/>
    <w:multiLevelType w:val="hybridMultilevel"/>
    <w:tmpl w:val="6EBECA40"/>
    <w:lvl w:ilvl="0" w:tplc="AC388972">
      <w:start w:val="1"/>
      <w:numFmt w:val="bullet"/>
      <w:lvlText w:val="•"/>
      <w:lvlJc w:val="left"/>
      <w:pPr>
        <w:ind w:left="720" w:hanging="360"/>
      </w:pPr>
    </w:lvl>
    <w:lvl w:ilvl="1" w:tplc="6C0220EA">
      <w:numFmt w:val="decimal"/>
      <w:lvlText w:val=""/>
      <w:lvlJc w:val="left"/>
    </w:lvl>
    <w:lvl w:ilvl="2" w:tplc="2294E66E">
      <w:numFmt w:val="decimal"/>
      <w:lvlText w:val=""/>
      <w:lvlJc w:val="left"/>
    </w:lvl>
    <w:lvl w:ilvl="3" w:tplc="C07A9CE2">
      <w:numFmt w:val="decimal"/>
      <w:lvlText w:val=""/>
      <w:lvlJc w:val="left"/>
    </w:lvl>
    <w:lvl w:ilvl="4" w:tplc="242C23A6">
      <w:numFmt w:val="decimal"/>
      <w:lvlText w:val=""/>
      <w:lvlJc w:val="left"/>
    </w:lvl>
    <w:lvl w:ilvl="5" w:tplc="EE26D69E">
      <w:numFmt w:val="decimal"/>
      <w:lvlText w:val=""/>
      <w:lvlJc w:val="left"/>
    </w:lvl>
    <w:lvl w:ilvl="6" w:tplc="F7E0E776">
      <w:numFmt w:val="decimal"/>
      <w:lvlText w:val=""/>
      <w:lvlJc w:val="left"/>
    </w:lvl>
    <w:lvl w:ilvl="7" w:tplc="2EE2DE56">
      <w:numFmt w:val="decimal"/>
      <w:lvlText w:val=""/>
      <w:lvlJc w:val="left"/>
    </w:lvl>
    <w:lvl w:ilvl="8" w:tplc="35B85B42">
      <w:numFmt w:val="decimal"/>
      <w:lvlText w:val=""/>
      <w:lvlJc w:val="left"/>
    </w:lvl>
  </w:abstractNum>
  <w:abstractNum w:abstractNumId="6" w15:restartNumberingAfterBreak="0">
    <w:nsid w:val="2F022131"/>
    <w:multiLevelType w:val="hybridMultilevel"/>
    <w:tmpl w:val="23CE1070"/>
    <w:lvl w:ilvl="0" w:tplc="F0FA41F0">
      <w:start w:val="1"/>
      <w:numFmt w:val="bullet"/>
      <w:lvlText w:val="•"/>
      <w:lvlJc w:val="left"/>
      <w:pPr>
        <w:ind w:left="720" w:hanging="360"/>
      </w:pPr>
    </w:lvl>
    <w:lvl w:ilvl="1" w:tplc="17C416BA">
      <w:numFmt w:val="decimal"/>
      <w:lvlText w:val=""/>
      <w:lvlJc w:val="left"/>
    </w:lvl>
    <w:lvl w:ilvl="2" w:tplc="2AEAB100">
      <w:numFmt w:val="decimal"/>
      <w:lvlText w:val=""/>
      <w:lvlJc w:val="left"/>
    </w:lvl>
    <w:lvl w:ilvl="3" w:tplc="C690F4E0">
      <w:numFmt w:val="decimal"/>
      <w:lvlText w:val=""/>
      <w:lvlJc w:val="left"/>
    </w:lvl>
    <w:lvl w:ilvl="4" w:tplc="BABA2C2E">
      <w:numFmt w:val="decimal"/>
      <w:lvlText w:val=""/>
      <w:lvlJc w:val="left"/>
    </w:lvl>
    <w:lvl w:ilvl="5" w:tplc="4796C154">
      <w:numFmt w:val="decimal"/>
      <w:lvlText w:val=""/>
      <w:lvlJc w:val="left"/>
    </w:lvl>
    <w:lvl w:ilvl="6" w:tplc="4BD6CD5A">
      <w:numFmt w:val="decimal"/>
      <w:lvlText w:val=""/>
      <w:lvlJc w:val="left"/>
    </w:lvl>
    <w:lvl w:ilvl="7" w:tplc="86FAA41A">
      <w:numFmt w:val="decimal"/>
      <w:lvlText w:val=""/>
      <w:lvlJc w:val="left"/>
    </w:lvl>
    <w:lvl w:ilvl="8" w:tplc="FC46C4E8">
      <w:numFmt w:val="decimal"/>
      <w:lvlText w:val=""/>
      <w:lvlJc w:val="left"/>
    </w:lvl>
  </w:abstractNum>
  <w:abstractNum w:abstractNumId="7" w15:restartNumberingAfterBreak="0">
    <w:nsid w:val="353853B6"/>
    <w:multiLevelType w:val="hybridMultilevel"/>
    <w:tmpl w:val="8BEEAF02"/>
    <w:lvl w:ilvl="0" w:tplc="856C260A">
      <w:start w:val="1"/>
      <w:numFmt w:val="bullet"/>
      <w:lvlText w:val="•"/>
      <w:lvlJc w:val="left"/>
      <w:pPr>
        <w:ind w:left="720" w:hanging="360"/>
      </w:pPr>
    </w:lvl>
    <w:lvl w:ilvl="1" w:tplc="B25E457A">
      <w:numFmt w:val="decimal"/>
      <w:lvlText w:val=""/>
      <w:lvlJc w:val="left"/>
    </w:lvl>
    <w:lvl w:ilvl="2" w:tplc="C8260460">
      <w:numFmt w:val="decimal"/>
      <w:lvlText w:val=""/>
      <w:lvlJc w:val="left"/>
    </w:lvl>
    <w:lvl w:ilvl="3" w:tplc="400EBB58">
      <w:numFmt w:val="decimal"/>
      <w:lvlText w:val=""/>
      <w:lvlJc w:val="left"/>
    </w:lvl>
    <w:lvl w:ilvl="4" w:tplc="9CF6F9C2">
      <w:numFmt w:val="decimal"/>
      <w:lvlText w:val=""/>
      <w:lvlJc w:val="left"/>
    </w:lvl>
    <w:lvl w:ilvl="5" w:tplc="529C85EC">
      <w:numFmt w:val="decimal"/>
      <w:lvlText w:val=""/>
      <w:lvlJc w:val="left"/>
    </w:lvl>
    <w:lvl w:ilvl="6" w:tplc="19D44E7C">
      <w:numFmt w:val="decimal"/>
      <w:lvlText w:val=""/>
      <w:lvlJc w:val="left"/>
    </w:lvl>
    <w:lvl w:ilvl="7" w:tplc="66DA2304">
      <w:numFmt w:val="decimal"/>
      <w:lvlText w:val=""/>
      <w:lvlJc w:val="left"/>
    </w:lvl>
    <w:lvl w:ilvl="8" w:tplc="D2D03664">
      <w:numFmt w:val="decimal"/>
      <w:lvlText w:val=""/>
      <w:lvlJc w:val="left"/>
    </w:lvl>
  </w:abstractNum>
  <w:abstractNum w:abstractNumId="8" w15:restartNumberingAfterBreak="0">
    <w:nsid w:val="4C023BFB"/>
    <w:multiLevelType w:val="hybridMultilevel"/>
    <w:tmpl w:val="937EBD5A"/>
    <w:lvl w:ilvl="0" w:tplc="D1D69868">
      <w:start w:val="1"/>
      <w:numFmt w:val="bullet"/>
      <w:lvlText w:val="•"/>
      <w:lvlJc w:val="left"/>
      <w:pPr>
        <w:ind w:left="720" w:hanging="360"/>
      </w:pPr>
    </w:lvl>
    <w:lvl w:ilvl="1" w:tplc="7B8C168E">
      <w:numFmt w:val="decimal"/>
      <w:lvlText w:val=""/>
      <w:lvlJc w:val="left"/>
    </w:lvl>
    <w:lvl w:ilvl="2" w:tplc="93CEEA66">
      <w:numFmt w:val="decimal"/>
      <w:lvlText w:val=""/>
      <w:lvlJc w:val="left"/>
    </w:lvl>
    <w:lvl w:ilvl="3" w:tplc="05E8D72C">
      <w:numFmt w:val="decimal"/>
      <w:lvlText w:val=""/>
      <w:lvlJc w:val="left"/>
    </w:lvl>
    <w:lvl w:ilvl="4" w:tplc="6E38E422">
      <w:numFmt w:val="decimal"/>
      <w:lvlText w:val=""/>
      <w:lvlJc w:val="left"/>
    </w:lvl>
    <w:lvl w:ilvl="5" w:tplc="A9687AEC">
      <w:numFmt w:val="decimal"/>
      <w:lvlText w:val=""/>
      <w:lvlJc w:val="left"/>
    </w:lvl>
    <w:lvl w:ilvl="6" w:tplc="30F469CA">
      <w:numFmt w:val="decimal"/>
      <w:lvlText w:val=""/>
      <w:lvlJc w:val="left"/>
    </w:lvl>
    <w:lvl w:ilvl="7" w:tplc="D1ECFB5E">
      <w:numFmt w:val="decimal"/>
      <w:lvlText w:val=""/>
      <w:lvlJc w:val="left"/>
    </w:lvl>
    <w:lvl w:ilvl="8" w:tplc="D22A49B6">
      <w:numFmt w:val="decimal"/>
      <w:lvlText w:val=""/>
      <w:lvlJc w:val="left"/>
    </w:lvl>
  </w:abstractNum>
  <w:abstractNum w:abstractNumId="9" w15:restartNumberingAfterBreak="0">
    <w:nsid w:val="56E43E22"/>
    <w:multiLevelType w:val="hybridMultilevel"/>
    <w:tmpl w:val="D690F99A"/>
    <w:lvl w:ilvl="0" w:tplc="4B9E642C">
      <w:start w:val="1"/>
      <w:numFmt w:val="bullet"/>
      <w:lvlText w:val="•"/>
      <w:lvlJc w:val="left"/>
      <w:pPr>
        <w:ind w:left="720" w:hanging="360"/>
      </w:pPr>
    </w:lvl>
    <w:lvl w:ilvl="1" w:tplc="5F9E8DC6">
      <w:numFmt w:val="decimal"/>
      <w:lvlText w:val=""/>
      <w:lvlJc w:val="left"/>
    </w:lvl>
    <w:lvl w:ilvl="2" w:tplc="87986F48">
      <w:numFmt w:val="decimal"/>
      <w:lvlText w:val=""/>
      <w:lvlJc w:val="left"/>
    </w:lvl>
    <w:lvl w:ilvl="3" w:tplc="B270FB98">
      <w:numFmt w:val="decimal"/>
      <w:lvlText w:val=""/>
      <w:lvlJc w:val="left"/>
    </w:lvl>
    <w:lvl w:ilvl="4" w:tplc="7EB8E9D6">
      <w:numFmt w:val="decimal"/>
      <w:lvlText w:val=""/>
      <w:lvlJc w:val="left"/>
    </w:lvl>
    <w:lvl w:ilvl="5" w:tplc="55FC28C0">
      <w:numFmt w:val="decimal"/>
      <w:lvlText w:val=""/>
      <w:lvlJc w:val="left"/>
    </w:lvl>
    <w:lvl w:ilvl="6" w:tplc="D35C1D5C">
      <w:numFmt w:val="decimal"/>
      <w:lvlText w:val=""/>
      <w:lvlJc w:val="left"/>
    </w:lvl>
    <w:lvl w:ilvl="7" w:tplc="B754C9A8">
      <w:numFmt w:val="decimal"/>
      <w:lvlText w:val=""/>
      <w:lvlJc w:val="left"/>
    </w:lvl>
    <w:lvl w:ilvl="8" w:tplc="BE66F6B4">
      <w:numFmt w:val="decimal"/>
      <w:lvlText w:val=""/>
      <w:lvlJc w:val="left"/>
    </w:lvl>
  </w:abstractNum>
  <w:abstractNum w:abstractNumId="10" w15:restartNumberingAfterBreak="0">
    <w:nsid w:val="5A6D57D4"/>
    <w:multiLevelType w:val="hybridMultilevel"/>
    <w:tmpl w:val="67AEFFBE"/>
    <w:lvl w:ilvl="0" w:tplc="A2AE5850">
      <w:start w:val="1"/>
      <w:numFmt w:val="bullet"/>
      <w:lvlText w:val="•"/>
      <w:lvlJc w:val="left"/>
      <w:pPr>
        <w:ind w:left="720" w:hanging="360"/>
      </w:pPr>
    </w:lvl>
    <w:lvl w:ilvl="1" w:tplc="85EC51B0">
      <w:numFmt w:val="decimal"/>
      <w:lvlText w:val=""/>
      <w:lvlJc w:val="left"/>
    </w:lvl>
    <w:lvl w:ilvl="2" w:tplc="48345070">
      <w:numFmt w:val="decimal"/>
      <w:lvlText w:val=""/>
      <w:lvlJc w:val="left"/>
    </w:lvl>
    <w:lvl w:ilvl="3" w:tplc="51105B1E">
      <w:numFmt w:val="decimal"/>
      <w:lvlText w:val=""/>
      <w:lvlJc w:val="left"/>
    </w:lvl>
    <w:lvl w:ilvl="4" w:tplc="2574429C">
      <w:numFmt w:val="decimal"/>
      <w:lvlText w:val=""/>
      <w:lvlJc w:val="left"/>
    </w:lvl>
    <w:lvl w:ilvl="5" w:tplc="E7961C30">
      <w:numFmt w:val="decimal"/>
      <w:lvlText w:val=""/>
      <w:lvlJc w:val="left"/>
    </w:lvl>
    <w:lvl w:ilvl="6" w:tplc="E6C6EB5E">
      <w:numFmt w:val="decimal"/>
      <w:lvlText w:val=""/>
      <w:lvlJc w:val="left"/>
    </w:lvl>
    <w:lvl w:ilvl="7" w:tplc="119ABBE2">
      <w:numFmt w:val="decimal"/>
      <w:lvlText w:val=""/>
      <w:lvlJc w:val="left"/>
    </w:lvl>
    <w:lvl w:ilvl="8" w:tplc="4092A2E6">
      <w:numFmt w:val="decimal"/>
      <w:lvlText w:val=""/>
      <w:lvlJc w:val="left"/>
    </w:lvl>
  </w:abstractNum>
  <w:abstractNum w:abstractNumId="11" w15:restartNumberingAfterBreak="0">
    <w:nsid w:val="6C666009"/>
    <w:multiLevelType w:val="hybridMultilevel"/>
    <w:tmpl w:val="1334143A"/>
    <w:lvl w:ilvl="0" w:tplc="54B8AA5C">
      <w:start w:val="1"/>
      <w:numFmt w:val="bullet"/>
      <w:lvlText w:val="•"/>
      <w:lvlJc w:val="left"/>
      <w:pPr>
        <w:ind w:left="720" w:hanging="360"/>
      </w:pPr>
    </w:lvl>
    <w:lvl w:ilvl="1" w:tplc="07FA4580">
      <w:numFmt w:val="decimal"/>
      <w:lvlText w:val=""/>
      <w:lvlJc w:val="left"/>
    </w:lvl>
    <w:lvl w:ilvl="2" w:tplc="8B34CA8E">
      <w:numFmt w:val="decimal"/>
      <w:lvlText w:val=""/>
      <w:lvlJc w:val="left"/>
    </w:lvl>
    <w:lvl w:ilvl="3" w:tplc="44108FA0">
      <w:numFmt w:val="decimal"/>
      <w:lvlText w:val=""/>
      <w:lvlJc w:val="left"/>
    </w:lvl>
    <w:lvl w:ilvl="4" w:tplc="76FAF366">
      <w:numFmt w:val="decimal"/>
      <w:lvlText w:val=""/>
      <w:lvlJc w:val="left"/>
    </w:lvl>
    <w:lvl w:ilvl="5" w:tplc="53869DB0">
      <w:numFmt w:val="decimal"/>
      <w:lvlText w:val=""/>
      <w:lvlJc w:val="left"/>
    </w:lvl>
    <w:lvl w:ilvl="6" w:tplc="D7D0024C">
      <w:numFmt w:val="decimal"/>
      <w:lvlText w:val=""/>
      <w:lvlJc w:val="left"/>
    </w:lvl>
    <w:lvl w:ilvl="7" w:tplc="9A925F00">
      <w:numFmt w:val="decimal"/>
      <w:lvlText w:val=""/>
      <w:lvlJc w:val="left"/>
    </w:lvl>
    <w:lvl w:ilvl="8" w:tplc="EB42D658">
      <w:numFmt w:val="decimal"/>
      <w:lvlText w:val=""/>
      <w:lvlJc w:val="left"/>
    </w:lvl>
  </w:abstractNum>
  <w:abstractNum w:abstractNumId="12" w15:restartNumberingAfterBreak="0">
    <w:nsid w:val="7574417B"/>
    <w:multiLevelType w:val="hybridMultilevel"/>
    <w:tmpl w:val="7F125882"/>
    <w:lvl w:ilvl="0" w:tplc="D2B4D88C">
      <w:start w:val="1"/>
      <w:numFmt w:val="bullet"/>
      <w:lvlText w:val="•"/>
      <w:lvlJc w:val="left"/>
      <w:pPr>
        <w:ind w:left="720" w:hanging="360"/>
      </w:pPr>
    </w:lvl>
    <w:lvl w:ilvl="1" w:tplc="10C8229C">
      <w:numFmt w:val="decimal"/>
      <w:lvlText w:val=""/>
      <w:lvlJc w:val="left"/>
    </w:lvl>
    <w:lvl w:ilvl="2" w:tplc="1B5639E0">
      <w:numFmt w:val="decimal"/>
      <w:lvlText w:val=""/>
      <w:lvlJc w:val="left"/>
    </w:lvl>
    <w:lvl w:ilvl="3" w:tplc="D7162A0C">
      <w:numFmt w:val="decimal"/>
      <w:lvlText w:val=""/>
      <w:lvlJc w:val="left"/>
    </w:lvl>
    <w:lvl w:ilvl="4" w:tplc="7BF298D2">
      <w:numFmt w:val="decimal"/>
      <w:lvlText w:val=""/>
      <w:lvlJc w:val="left"/>
    </w:lvl>
    <w:lvl w:ilvl="5" w:tplc="392A68BE">
      <w:numFmt w:val="decimal"/>
      <w:lvlText w:val=""/>
      <w:lvlJc w:val="left"/>
    </w:lvl>
    <w:lvl w:ilvl="6" w:tplc="DB8AFC2C">
      <w:numFmt w:val="decimal"/>
      <w:lvlText w:val=""/>
      <w:lvlJc w:val="left"/>
    </w:lvl>
    <w:lvl w:ilvl="7" w:tplc="E54899AE">
      <w:numFmt w:val="decimal"/>
      <w:lvlText w:val=""/>
      <w:lvlJc w:val="left"/>
    </w:lvl>
    <w:lvl w:ilvl="8" w:tplc="3ACCF74C">
      <w:numFmt w:val="decimal"/>
      <w:lvlText w:val=""/>
      <w:lvlJc w:val="left"/>
    </w:lvl>
  </w:abstractNum>
  <w:abstractNum w:abstractNumId="13" w15:restartNumberingAfterBreak="0">
    <w:nsid w:val="7B5005DF"/>
    <w:multiLevelType w:val="hybridMultilevel"/>
    <w:tmpl w:val="DA58FA14"/>
    <w:lvl w:ilvl="0" w:tplc="69262DB4">
      <w:start w:val="1"/>
      <w:numFmt w:val="bullet"/>
      <w:lvlText w:val="•"/>
      <w:lvlJc w:val="left"/>
      <w:pPr>
        <w:ind w:left="720" w:hanging="360"/>
      </w:pPr>
    </w:lvl>
    <w:lvl w:ilvl="1" w:tplc="C73CEFE6">
      <w:start w:val="1"/>
      <w:numFmt w:val="bullet"/>
      <w:lvlText w:val="◦"/>
      <w:lvlJc w:val="left"/>
      <w:pPr>
        <w:ind w:left="1440" w:hanging="360"/>
      </w:pPr>
    </w:lvl>
    <w:lvl w:ilvl="2" w:tplc="DED076C8">
      <w:numFmt w:val="decimal"/>
      <w:lvlText w:val=""/>
      <w:lvlJc w:val="left"/>
    </w:lvl>
    <w:lvl w:ilvl="3" w:tplc="49909586">
      <w:numFmt w:val="decimal"/>
      <w:lvlText w:val=""/>
      <w:lvlJc w:val="left"/>
    </w:lvl>
    <w:lvl w:ilvl="4" w:tplc="9AE4A704">
      <w:numFmt w:val="decimal"/>
      <w:lvlText w:val=""/>
      <w:lvlJc w:val="left"/>
    </w:lvl>
    <w:lvl w:ilvl="5" w:tplc="B1C08AB6">
      <w:numFmt w:val="decimal"/>
      <w:lvlText w:val=""/>
      <w:lvlJc w:val="left"/>
    </w:lvl>
    <w:lvl w:ilvl="6" w:tplc="0F5243AC">
      <w:numFmt w:val="decimal"/>
      <w:lvlText w:val=""/>
      <w:lvlJc w:val="left"/>
    </w:lvl>
    <w:lvl w:ilvl="7" w:tplc="91D40B8C">
      <w:numFmt w:val="decimal"/>
      <w:lvlText w:val=""/>
      <w:lvlJc w:val="left"/>
    </w:lvl>
    <w:lvl w:ilvl="8" w:tplc="4C7475CA">
      <w:numFmt w:val="decimal"/>
      <w:lvlText w:val=""/>
      <w:lvlJc w:val="left"/>
    </w:lvl>
  </w:abstractNum>
  <w:num w:numId="1" w16cid:durableId="1309557701">
    <w:abstractNumId w:val="3"/>
    <w:lvlOverride w:ilvl="0">
      <w:startOverride w:val="1"/>
    </w:lvlOverride>
  </w:num>
  <w:num w:numId="2" w16cid:durableId="869073305">
    <w:abstractNumId w:val="5"/>
    <w:lvlOverride w:ilvl="0">
      <w:startOverride w:val="1"/>
    </w:lvlOverride>
  </w:num>
  <w:num w:numId="3" w16cid:durableId="771440338">
    <w:abstractNumId w:val="13"/>
    <w:lvlOverride w:ilvl="0">
      <w:startOverride w:val="1"/>
    </w:lvlOverride>
  </w:num>
  <w:num w:numId="4" w16cid:durableId="447048764">
    <w:abstractNumId w:val="11"/>
    <w:lvlOverride w:ilvl="0">
      <w:startOverride w:val="1"/>
    </w:lvlOverride>
  </w:num>
  <w:num w:numId="5" w16cid:durableId="1817336724">
    <w:abstractNumId w:val="6"/>
    <w:lvlOverride w:ilvl="0">
      <w:startOverride w:val="1"/>
    </w:lvlOverride>
  </w:num>
  <w:num w:numId="6" w16cid:durableId="1643123416">
    <w:abstractNumId w:val="9"/>
    <w:lvlOverride w:ilvl="0">
      <w:startOverride w:val="1"/>
    </w:lvlOverride>
  </w:num>
  <w:num w:numId="7" w16cid:durableId="1979651006">
    <w:abstractNumId w:val="10"/>
    <w:lvlOverride w:ilvl="0">
      <w:startOverride w:val="1"/>
    </w:lvlOverride>
  </w:num>
  <w:num w:numId="8" w16cid:durableId="1891652905">
    <w:abstractNumId w:val="4"/>
    <w:lvlOverride w:ilvl="0">
      <w:startOverride w:val="1"/>
    </w:lvlOverride>
  </w:num>
  <w:num w:numId="9" w16cid:durableId="811870652">
    <w:abstractNumId w:val="7"/>
    <w:lvlOverride w:ilvl="0">
      <w:startOverride w:val="1"/>
    </w:lvlOverride>
  </w:num>
  <w:num w:numId="10" w16cid:durableId="761606897">
    <w:abstractNumId w:val="2"/>
    <w:lvlOverride w:ilvl="0">
      <w:startOverride w:val="1"/>
    </w:lvlOverride>
  </w:num>
  <w:num w:numId="11" w16cid:durableId="1985889057">
    <w:abstractNumId w:val="1"/>
    <w:lvlOverride w:ilvl="0">
      <w:startOverride w:val="1"/>
    </w:lvlOverride>
  </w:num>
  <w:num w:numId="12" w16cid:durableId="1241865269">
    <w:abstractNumId w:val="12"/>
    <w:lvlOverride w:ilvl="0">
      <w:startOverride w:val="1"/>
    </w:lvlOverride>
  </w:num>
  <w:num w:numId="13" w16cid:durableId="1518499271">
    <w:abstractNumId w:val="0"/>
    <w:lvlOverride w:ilvl="0">
      <w:startOverride w:val="1"/>
    </w:lvlOverride>
  </w:num>
  <w:num w:numId="14" w16cid:durableId="72348354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8D"/>
    <w:rsid w:val="00217F83"/>
    <w:rsid w:val="005938D4"/>
    <w:rsid w:val="00A57C87"/>
    <w:rsid w:val="00C63D8D"/>
    <w:rsid w:val="00CA1308"/>
    <w:rsid w:val="00EB5FB8"/>
    <w:rsid w:val="00F3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0B45"/>
  <w15:docId w15:val="{FCF68950-DD1F-4730-A6E9-7C70F47F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rFonts w:ascii="Georgia" w:eastAsia="Georgia" w:hAnsi="Georgia" w:cs="Georgia"/>
      <w:b/>
      <w:bCs/>
      <w:color w:val="1B3A2E"/>
      <w:sz w:val="28"/>
      <w:szCs w:val="28"/>
    </w:rPr>
  </w:style>
  <w:style w:type="paragraph" w:styleId="Heading2">
    <w:name w:val="heading 2"/>
    <w:uiPriority w:val="9"/>
    <w:unhideWhenUsed/>
    <w:qFormat/>
    <w:pPr>
      <w:spacing w:before="280" w:after="160"/>
      <w:outlineLvl w:val="1"/>
    </w:pPr>
    <w:rPr>
      <w:rFonts w:ascii="Georgia" w:eastAsia="Georgia" w:hAnsi="Georgia" w:cs="Georgia"/>
      <w:b/>
      <w:bCs/>
      <w:color w:val="46624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2495</Words>
  <Characters>14225</Characters>
  <Application>Microsoft Office Word</Application>
  <DocSecurity>0</DocSecurity>
  <Lines>118</Lines>
  <Paragraphs>33</Paragraphs>
  <ScaleCrop>false</ScaleCrop>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reid</cp:lastModifiedBy>
  <cp:revision>3</cp:revision>
  <dcterms:created xsi:type="dcterms:W3CDTF">2026-03-06T18:05:00Z</dcterms:created>
  <dcterms:modified xsi:type="dcterms:W3CDTF">2026-03-06T19:39:00Z</dcterms:modified>
</cp:coreProperties>
</file>